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23F553" w14:textId="77777777" w:rsidR="00AE07BE" w:rsidRPr="00AE07BE" w:rsidRDefault="00AE07BE" w:rsidP="00AE07BE">
      <w:pPr>
        <w:tabs>
          <w:tab w:val="left" w:pos="720"/>
        </w:tabs>
        <w:jc w:val="center"/>
        <w:rPr>
          <w:rFonts w:eastAsia="Calibri"/>
        </w:rPr>
      </w:pPr>
      <w:bookmarkStart w:id="0" w:name="_GoBack"/>
      <w:bookmarkEnd w:id="0"/>
      <w:r w:rsidRPr="00AE07BE">
        <w:rPr>
          <w:rFonts w:eastAsia="Calibri"/>
          <w:b/>
        </w:rPr>
        <w:t>DOCKET NO. 53483</w:t>
      </w:r>
    </w:p>
    <w:p w14:paraId="6C8758C7" w14:textId="77777777" w:rsidR="00AE07BE" w:rsidRPr="00AE07BE" w:rsidRDefault="00AE07BE" w:rsidP="00AE07BE">
      <w:pPr>
        <w:tabs>
          <w:tab w:val="left" w:pos="720"/>
        </w:tabs>
        <w:jc w:val="center"/>
        <w:rPr>
          <w:rFonts w:eastAsia="Calibri"/>
        </w:rPr>
      </w:pPr>
    </w:p>
    <w:tbl>
      <w:tblPr>
        <w:tblW w:w="9405" w:type="dxa"/>
        <w:tblInd w:w="-90" w:type="dxa"/>
        <w:tblLayout w:type="fixed"/>
        <w:tblCellMar>
          <w:left w:w="40" w:type="dxa"/>
          <w:right w:w="40" w:type="dxa"/>
        </w:tblCellMar>
        <w:tblLook w:val="04A0" w:firstRow="1" w:lastRow="0" w:firstColumn="1" w:lastColumn="0" w:noHBand="0" w:noVBand="1"/>
      </w:tblPr>
      <w:tblGrid>
        <w:gridCol w:w="4593"/>
        <w:gridCol w:w="447"/>
        <w:gridCol w:w="4365"/>
      </w:tblGrid>
      <w:tr w:rsidR="00AE07BE" w:rsidRPr="00AE07BE" w14:paraId="16A4B601" w14:textId="77777777" w:rsidTr="00F874C7">
        <w:trPr>
          <w:trHeight w:val="1692"/>
        </w:trPr>
        <w:tc>
          <w:tcPr>
            <w:tcW w:w="4593" w:type="dxa"/>
            <w:hideMark/>
          </w:tcPr>
          <w:p w14:paraId="1F65AC27" w14:textId="77777777" w:rsidR="00AE07BE" w:rsidRPr="00AE07BE" w:rsidRDefault="00AE07BE" w:rsidP="00AE07BE">
            <w:pPr>
              <w:widowControl w:val="0"/>
              <w:autoSpaceDE w:val="0"/>
              <w:autoSpaceDN w:val="0"/>
              <w:adjustRightInd w:val="0"/>
              <w:spacing w:line="240" w:lineRule="atLeast"/>
              <w:rPr>
                <w:rFonts w:eastAsia="Times New Roman"/>
                <w:b/>
                <w:iCs/>
                <w:snapToGrid w:val="0"/>
              </w:rPr>
            </w:pPr>
            <w:r w:rsidRPr="00AE07BE">
              <w:rPr>
                <w:rFonts w:eastAsia="Times New Roman"/>
                <w:b/>
                <w:iCs/>
                <w:snapToGrid w:val="0"/>
              </w:rPr>
              <w:t>APPLICATION OF CSWR-TEXAS UTILITY OPERATING COMPANY, LLC AND NORTH ORANGE WATER &amp; SEWER, LLC FOR SALE, TRANSFER, OR MERGER OF FACILITIES AND CERTIFICATE RIGHTS IN ORANGE COUNTY</w:t>
            </w:r>
          </w:p>
        </w:tc>
        <w:tc>
          <w:tcPr>
            <w:tcW w:w="447" w:type="dxa"/>
          </w:tcPr>
          <w:p w14:paraId="1A8A1057" w14:textId="77777777" w:rsidR="00AE07BE" w:rsidRPr="00AE07BE" w:rsidRDefault="00AE07BE" w:rsidP="00AE07BE">
            <w:pPr>
              <w:widowControl w:val="0"/>
              <w:autoSpaceDE w:val="0"/>
              <w:autoSpaceDN w:val="0"/>
              <w:adjustRightInd w:val="0"/>
              <w:spacing w:line="240" w:lineRule="atLeast"/>
              <w:ind w:left="108" w:right="108"/>
              <w:jc w:val="both"/>
              <w:rPr>
                <w:rFonts w:eastAsia="Times New Roman"/>
                <w:b/>
                <w:snapToGrid w:val="0"/>
                <w:color w:val="000000"/>
              </w:rPr>
            </w:pPr>
            <w:r w:rsidRPr="00AE07BE">
              <w:rPr>
                <w:rFonts w:eastAsia="Times New Roman"/>
                <w:b/>
                <w:snapToGrid w:val="0"/>
                <w:color w:val="000000"/>
              </w:rPr>
              <w:t>§</w:t>
            </w:r>
          </w:p>
          <w:p w14:paraId="3DA1879D" w14:textId="77777777" w:rsidR="00AE07BE" w:rsidRPr="00AE07BE" w:rsidRDefault="00AE07BE" w:rsidP="00AE07BE">
            <w:pPr>
              <w:widowControl w:val="0"/>
              <w:autoSpaceDE w:val="0"/>
              <w:autoSpaceDN w:val="0"/>
              <w:adjustRightInd w:val="0"/>
              <w:spacing w:line="240" w:lineRule="atLeast"/>
              <w:ind w:left="108" w:right="108"/>
              <w:jc w:val="both"/>
              <w:rPr>
                <w:rFonts w:eastAsia="Times New Roman"/>
                <w:b/>
                <w:snapToGrid w:val="0"/>
                <w:color w:val="000000"/>
              </w:rPr>
            </w:pPr>
            <w:r w:rsidRPr="00AE07BE">
              <w:rPr>
                <w:rFonts w:eastAsia="Times New Roman"/>
                <w:b/>
                <w:snapToGrid w:val="0"/>
                <w:color w:val="000000"/>
              </w:rPr>
              <w:t>§</w:t>
            </w:r>
          </w:p>
          <w:p w14:paraId="78DC59BD" w14:textId="77777777" w:rsidR="00AE07BE" w:rsidRPr="00AE07BE" w:rsidRDefault="00AE07BE" w:rsidP="00AE07BE">
            <w:pPr>
              <w:widowControl w:val="0"/>
              <w:autoSpaceDE w:val="0"/>
              <w:autoSpaceDN w:val="0"/>
              <w:adjustRightInd w:val="0"/>
              <w:spacing w:line="240" w:lineRule="atLeast"/>
              <w:ind w:left="108" w:right="108"/>
              <w:jc w:val="both"/>
              <w:rPr>
                <w:rFonts w:eastAsia="Times New Roman"/>
                <w:b/>
                <w:snapToGrid w:val="0"/>
                <w:color w:val="000000"/>
              </w:rPr>
            </w:pPr>
            <w:r w:rsidRPr="00AE07BE">
              <w:rPr>
                <w:rFonts w:eastAsia="Times New Roman"/>
                <w:b/>
                <w:snapToGrid w:val="0"/>
                <w:color w:val="000000"/>
              </w:rPr>
              <w:t>§</w:t>
            </w:r>
          </w:p>
          <w:p w14:paraId="386BA158" w14:textId="77777777" w:rsidR="00AE07BE" w:rsidRPr="00AE07BE" w:rsidRDefault="00AE07BE" w:rsidP="00AE07BE">
            <w:pPr>
              <w:widowControl w:val="0"/>
              <w:autoSpaceDE w:val="0"/>
              <w:autoSpaceDN w:val="0"/>
              <w:adjustRightInd w:val="0"/>
              <w:spacing w:line="240" w:lineRule="atLeast"/>
              <w:ind w:left="108" w:right="108"/>
              <w:jc w:val="both"/>
              <w:rPr>
                <w:rFonts w:eastAsia="Times New Roman"/>
                <w:b/>
                <w:snapToGrid w:val="0"/>
                <w:color w:val="000000"/>
              </w:rPr>
            </w:pPr>
            <w:r w:rsidRPr="00AE07BE">
              <w:rPr>
                <w:rFonts w:eastAsia="Times New Roman"/>
                <w:b/>
                <w:snapToGrid w:val="0"/>
                <w:color w:val="000000"/>
              </w:rPr>
              <w:t>§</w:t>
            </w:r>
          </w:p>
          <w:p w14:paraId="14198636" w14:textId="77777777" w:rsidR="00AE07BE" w:rsidRPr="00AE07BE" w:rsidRDefault="00AE07BE" w:rsidP="00AE07BE">
            <w:pPr>
              <w:widowControl w:val="0"/>
              <w:autoSpaceDE w:val="0"/>
              <w:autoSpaceDN w:val="0"/>
              <w:adjustRightInd w:val="0"/>
              <w:spacing w:line="240" w:lineRule="atLeast"/>
              <w:ind w:left="108" w:right="108"/>
              <w:jc w:val="both"/>
              <w:rPr>
                <w:rFonts w:eastAsia="Times New Roman"/>
                <w:b/>
                <w:snapToGrid w:val="0"/>
                <w:color w:val="000000"/>
              </w:rPr>
            </w:pPr>
            <w:r w:rsidRPr="00AE07BE">
              <w:rPr>
                <w:rFonts w:eastAsia="Times New Roman"/>
                <w:b/>
                <w:snapToGrid w:val="0"/>
                <w:color w:val="000000"/>
              </w:rPr>
              <w:t>§</w:t>
            </w:r>
          </w:p>
          <w:p w14:paraId="323E85E8" w14:textId="77777777" w:rsidR="00AE07BE" w:rsidRPr="00AE07BE" w:rsidRDefault="00AE07BE" w:rsidP="00AE07BE">
            <w:pPr>
              <w:widowControl w:val="0"/>
              <w:autoSpaceDE w:val="0"/>
              <w:autoSpaceDN w:val="0"/>
              <w:adjustRightInd w:val="0"/>
              <w:spacing w:line="240" w:lineRule="atLeast"/>
              <w:ind w:left="108" w:right="108"/>
              <w:jc w:val="both"/>
              <w:rPr>
                <w:rFonts w:eastAsia="Times New Roman"/>
                <w:b/>
                <w:snapToGrid w:val="0"/>
                <w:color w:val="000000"/>
              </w:rPr>
            </w:pPr>
            <w:r w:rsidRPr="00AE07BE">
              <w:rPr>
                <w:rFonts w:eastAsia="Times New Roman"/>
                <w:b/>
                <w:snapToGrid w:val="0"/>
                <w:color w:val="000000"/>
              </w:rPr>
              <w:t>§</w:t>
            </w:r>
          </w:p>
          <w:p w14:paraId="23A3E947" w14:textId="77777777" w:rsidR="00AE07BE" w:rsidRPr="00AE07BE" w:rsidRDefault="00AE07BE" w:rsidP="00AE07BE">
            <w:pPr>
              <w:widowControl w:val="0"/>
              <w:autoSpaceDE w:val="0"/>
              <w:autoSpaceDN w:val="0"/>
              <w:adjustRightInd w:val="0"/>
              <w:spacing w:line="240" w:lineRule="atLeast"/>
              <w:ind w:left="108" w:right="108"/>
              <w:jc w:val="both"/>
              <w:rPr>
                <w:rFonts w:eastAsia="Times New Roman"/>
                <w:b/>
                <w:snapToGrid w:val="0"/>
                <w:color w:val="000000"/>
              </w:rPr>
            </w:pPr>
            <w:r w:rsidRPr="00AE07BE">
              <w:rPr>
                <w:rFonts w:eastAsia="Times New Roman"/>
                <w:b/>
                <w:snapToGrid w:val="0"/>
                <w:color w:val="000000"/>
              </w:rPr>
              <w:t>§</w:t>
            </w:r>
          </w:p>
        </w:tc>
        <w:tc>
          <w:tcPr>
            <w:tcW w:w="4365" w:type="dxa"/>
          </w:tcPr>
          <w:p w14:paraId="62391405" w14:textId="77777777" w:rsidR="00AE07BE" w:rsidRPr="00AE07BE" w:rsidRDefault="00AE07BE" w:rsidP="00AE07BE">
            <w:pPr>
              <w:widowControl w:val="0"/>
              <w:autoSpaceDE w:val="0"/>
              <w:autoSpaceDN w:val="0"/>
              <w:adjustRightInd w:val="0"/>
              <w:spacing w:line="240" w:lineRule="atLeast"/>
              <w:ind w:right="108"/>
              <w:jc w:val="center"/>
              <w:rPr>
                <w:rFonts w:eastAsia="Times New Roman"/>
                <w:b/>
                <w:snapToGrid w:val="0"/>
                <w:color w:val="000000"/>
              </w:rPr>
            </w:pPr>
          </w:p>
          <w:p w14:paraId="42C1EBBE" w14:textId="77777777" w:rsidR="00AE07BE" w:rsidRPr="00AE07BE" w:rsidRDefault="00AE07BE" w:rsidP="00AE07BE">
            <w:pPr>
              <w:widowControl w:val="0"/>
              <w:autoSpaceDE w:val="0"/>
              <w:autoSpaceDN w:val="0"/>
              <w:adjustRightInd w:val="0"/>
              <w:spacing w:line="240" w:lineRule="atLeast"/>
              <w:ind w:right="108"/>
              <w:jc w:val="center"/>
              <w:rPr>
                <w:rFonts w:eastAsia="Times New Roman"/>
                <w:b/>
                <w:snapToGrid w:val="0"/>
                <w:color w:val="000000"/>
              </w:rPr>
            </w:pPr>
            <w:r w:rsidRPr="00AE07BE">
              <w:rPr>
                <w:rFonts w:eastAsia="Times New Roman"/>
                <w:b/>
                <w:snapToGrid w:val="0"/>
                <w:color w:val="000000"/>
              </w:rPr>
              <w:t>PUBLIC UTILITY COMMISSION</w:t>
            </w:r>
          </w:p>
          <w:p w14:paraId="247DAF64" w14:textId="77777777" w:rsidR="00AE07BE" w:rsidRPr="00AE07BE" w:rsidRDefault="00AE07BE" w:rsidP="00AE07BE">
            <w:pPr>
              <w:widowControl w:val="0"/>
              <w:autoSpaceDE w:val="0"/>
              <w:autoSpaceDN w:val="0"/>
              <w:adjustRightInd w:val="0"/>
              <w:spacing w:line="240" w:lineRule="atLeast"/>
              <w:ind w:right="108"/>
              <w:jc w:val="center"/>
              <w:rPr>
                <w:rFonts w:eastAsia="Times New Roman"/>
                <w:b/>
                <w:snapToGrid w:val="0"/>
                <w:color w:val="000000"/>
              </w:rPr>
            </w:pPr>
          </w:p>
          <w:p w14:paraId="04BE613B" w14:textId="77777777" w:rsidR="00AE07BE" w:rsidRPr="00AE07BE" w:rsidRDefault="00AE07BE" w:rsidP="00AE07BE">
            <w:pPr>
              <w:widowControl w:val="0"/>
              <w:autoSpaceDE w:val="0"/>
              <w:autoSpaceDN w:val="0"/>
              <w:adjustRightInd w:val="0"/>
              <w:spacing w:line="240" w:lineRule="atLeast"/>
              <w:ind w:right="108"/>
              <w:jc w:val="center"/>
              <w:rPr>
                <w:rFonts w:eastAsia="Times New Roman"/>
                <w:b/>
                <w:snapToGrid w:val="0"/>
                <w:color w:val="000000"/>
              </w:rPr>
            </w:pPr>
            <w:r w:rsidRPr="00AE07BE">
              <w:rPr>
                <w:rFonts w:eastAsia="Times New Roman"/>
                <w:b/>
                <w:snapToGrid w:val="0"/>
                <w:color w:val="000000"/>
              </w:rPr>
              <w:t>OF TEXAS</w:t>
            </w:r>
          </w:p>
        </w:tc>
      </w:tr>
    </w:tbl>
    <w:p w14:paraId="4FFD461F" w14:textId="2927838F" w:rsidR="00E34FF4" w:rsidRPr="00F2689D" w:rsidRDefault="0071422C" w:rsidP="00AE07BE">
      <w:pPr>
        <w:pStyle w:val="Titleoforder"/>
        <w:spacing w:before="240" w:after="240"/>
        <w:rPr>
          <w:u w:val="single"/>
        </w:rPr>
      </w:pPr>
      <w:r w:rsidRPr="00F2689D">
        <w:rPr>
          <w:u w:val="single"/>
        </w:rPr>
        <w:t>JOINT PROPOSED NOTICE OF APPROVAL</w:t>
      </w:r>
    </w:p>
    <w:p w14:paraId="4FFD4620" w14:textId="21A5DF07" w:rsidR="00E34FF4" w:rsidRDefault="0071422C" w:rsidP="00AE07BE">
      <w:pPr>
        <w:pStyle w:val="BodyText"/>
        <w:spacing w:before="0"/>
      </w:pPr>
      <w:r>
        <w:t xml:space="preserve">This Notice of Approval addresses the application of North Orange Water &amp; Sewer, LLC dba Longford Place Water and Sewer dba Country Squire Water and Sewer (North Orange) and CSWR-Texas Utility Operating Company, LLC (CSWR-Texas) </w:t>
      </w:r>
      <w:r w:rsidR="00EF2A8F">
        <w:t xml:space="preserve">(collectively, Applicants) </w:t>
      </w:r>
      <w:r>
        <w:t xml:space="preserve">for the sale, transfer, or merger of facilities and certificate rights in Orange County.  The </w:t>
      </w:r>
      <w:r w:rsidR="00F2689D">
        <w:t xml:space="preserve">Commission approves </w:t>
      </w:r>
      <w:r>
        <w:t xml:space="preserve">the sale and transfer of all water facilities held under North Orange’s water </w:t>
      </w:r>
      <w:r w:rsidR="000C6FC5">
        <w:t>C</w:t>
      </w:r>
      <w:r>
        <w:t xml:space="preserve">ertificate of </w:t>
      </w:r>
      <w:r w:rsidR="000C6FC5">
        <w:t>C</w:t>
      </w:r>
      <w:r>
        <w:t xml:space="preserve">onvenience and </w:t>
      </w:r>
      <w:r w:rsidR="004A7BE4">
        <w:t>N</w:t>
      </w:r>
      <w:r>
        <w:t xml:space="preserve">ecessity (CCN) </w:t>
      </w:r>
      <w:r w:rsidR="0015164D">
        <w:t>N</w:t>
      </w:r>
      <w:r w:rsidR="003667FA">
        <w:t>os.</w:t>
      </w:r>
      <w:r>
        <w:t xml:space="preserve"> 11511 and </w:t>
      </w:r>
      <w:r w:rsidR="004A7BE4">
        <w:t xml:space="preserve">water CCN No. </w:t>
      </w:r>
      <w:r>
        <w:t xml:space="preserve">11642 and sewer CCN </w:t>
      </w:r>
      <w:r w:rsidR="004A7BE4">
        <w:t>N</w:t>
      </w:r>
      <w:r w:rsidR="005A5CB1">
        <w:t>os</w:t>
      </w:r>
      <w:r w:rsidR="003667FA">
        <w:t>.</w:t>
      </w:r>
      <w:r w:rsidR="005A5CB1">
        <w:t xml:space="preserve"> </w:t>
      </w:r>
      <w:r>
        <w:t xml:space="preserve">20564 and 20548 to CSWR-Texas, the cancellation of North Orange’s water CCN </w:t>
      </w:r>
      <w:r w:rsidR="0015164D">
        <w:t>N</w:t>
      </w:r>
      <w:r w:rsidR="005A5CB1">
        <w:t>o</w:t>
      </w:r>
      <w:r w:rsidR="00E21C91">
        <w:t xml:space="preserve">. </w:t>
      </w:r>
      <w:r>
        <w:t xml:space="preserve">11511 and 11642 and sewer CCN </w:t>
      </w:r>
      <w:r w:rsidR="0015164D">
        <w:t>Nos</w:t>
      </w:r>
      <w:r w:rsidR="003667FA">
        <w:t>.</w:t>
      </w:r>
      <w:r>
        <w:t xml:space="preserve"> 20564 and 20548, and the amendment of CSWR</w:t>
      </w:r>
      <w:r>
        <w:noBreakHyphen/>
        <w:t xml:space="preserve">Texas’s water CCN </w:t>
      </w:r>
      <w:r w:rsidR="0015164D">
        <w:t xml:space="preserve">No. </w:t>
      </w:r>
      <w:r>
        <w:t>13290</w:t>
      </w:r>
      <w:r w:rsidR="004E5112">
        <w:t xml:space="preserve"> and sewer CCN No. 21120</w:t>
      </w:r>
      <w:r>
        <w:t xml:space="preserve"> to include the area previously included in North Orange’s water CCN </w:t>
      </w:r>
      <w:r w:rsidR="0015164D">
        <w:t>Nos</w:t>
      </w:r>
      <w:r w:rsidR="00EC2C93">
        <w:t>.</w:t>
      </w:r>
      <w:r w:rsidR="00F2689D">
        <w:t xml:space="preserve"> </w:t>
      </w:r>
      <w:r>
        <w:t xml:space="preserve">11511 and 11642 and sewer CCN </w:t>
      </w:r>
      <w:r w:rsidR="005A5CB1">
        <w:t>No</w:t>
      </w:r>
      <w:r w:rsidR="00EC2C93">
        <w:t>s.</w:t>
      </w:r>
      <w:r w:rsidR="005A5CB1">
        <w:t xml:space="preserve"> </w:t>
      </w:r>
      <w:r>
        <w:t>20564 and 20548.</w:t>
      </w:r>
    </w:p>
    <w:p w14:paraId="4FFD4621" w14:textId="77777777" w:rsidR="00E34FF4" w:rsidRDefault="0071422C" w:rsidP="00AE07BE">
      <w:pPr>
        <w:pStyle w:val="Heading1"/>
        <w:spacing w:before="0"/>
      </w:pPr>
      <w:r>
        <w:t>Findings of Fact</w:t>
      </w:r>
    </w:p>
    <w:p w14:paraId="4FFD4622" w14:textId="77777777" w:rsidR="00E34FF4" w:rsidRDefault="0071422C" w:rsidP="00AE07BE">
      <w:pPr>
        <w:pStyle w:val="BodyText"/>
        <w:spacing w:before="0"/>
      </w:pPr>
      <w:r>
        <w:t>The Commission makes the following findings of fact.</w:t>
      </w:r>
    </w:p>
    <w:p w14:paraId="4FFD4623" w14:textId="77777777" w:rsidR="00E34FF4" w:rsidRDefault="0071422C" w:rsidP="00F2689D">
      <w:pPr>
        <w:pStyle w:val="Heading7"/>
      </w:pPr>
      <w:r>
        <w:t>Applicants</w:t>
      </w:r>
    </w:p>
    <w:p w14:paraId="4FFD4624" w14:textId="5A3CF905" w:rsidR="00E34FF4" w:rsidRDefault="0071422C">
      <w:pPr>
        <w:pStyle w:val="BodyText"/>
        <w:numPr>
          <w:ilvl w:val="0"/>
          <w:numId w:val="4"/>
        </w:numPr>
        <w:ind w:left="720" w:right="14"/>
      </w:pPr>
      <w:r>
        <w:t xml:space="preserve">North Orange is a Texas limited liability company registered with the Texas </w:t>
      </w:r>
      <w:r w:rsidR="001770CB">
        <w:t>s</w:t>
      </w:r>
      <w:r>
        <w:t xml:space="preserve">ecretary of </w:t>
      </w:r>
      <w:r w:rsidR="001770CB">
        <w:t>s</w:t>
      </w:r>
      <w:r>
        <w:t>tate</w:t>
      </w:r>
      <w:r w:rsidR="009F2B53">
        <w:t xml:space="preserve"> </w:t>
      </w:r>
      <w:r>
        <w:t>under file number 704601622.</w:t>
      </w:r>
    </w:p>
    <w:p w14:paraId="4FFD4625" w14:textId="7ADEA5A7" w:rsidR="00E34FF4" w:rsidRDefault="0071422C" w:rsidP="00217478">
      <w:pPr>
        <w:pStyle w:val="BodyText"/>
        <w:numPr>
          <w:ilvl w:val="0"/>
          <w:numId w:val="4"/>
        </w:numPr>
        <w:spacing w:before="0"/>
        <w:ind w:left="720" w:right="14"/>
      </w:pPr>
      <w:r>
        <w:t xml:space="preserve">North Orange operates, maintains, and controls facilities for providing water and sewer service to customers in Orange County under water CCN </w:t>
      </w:r>
      <w:r w:rsidR="005A5CB1">
        <w:t>No</w:t>
      </w:r>
      <w:r w:rsidR="00EC2C93">
        <w:t>s.</w:t>
      </w:r>
      <w:r>
        <w:t xml:space="preserve"> 11511 and 11642 and sewer CCN </w:t>
      </w:r>
      <w:r w:rsidR="005A5CB1">
        <w:t>No</w:t>
      </w:r>
      <w:r w:rsidR="00EC2C93">
        <w:t>s.</w:t>
      </w:r>
      <w:r>
        <w:t xml:space="preserve"> 20564 and 20548.</w:t>
      </w:r>
    </w:p>
    <w:p w14:paraId="4FFD4626" w14:textId="4A85F3F9" w:rsidR="00E34FF4" w:rsidRDefault="0071422C">
      <w:pPr>
        <w:pStyle w:val="BodyText"/>
        <w:numPr>
          <w:ilvl w:val="0"/>
          <w:numId w:val="4"/>
        </w:numPr>
        <w:spacing w:before="0"/>
        <w:ind w:left="720" w:right="10"/>
      </w:pPr>
      <w:r>
        <w:t>North Orange owns and operates two public water system</w:t>
      </w:r>
      <w:r w:rsidR="009F2B53">
        <w:t>s</w:t>
      </w:r>
      <w:r>
        <w:t xml:space="preserve"> registered with the Texas Commission on Environmental Quality (TCEQ) as Longford Place Water System, public water system</w:t>
      </w:r>
      <w:r w:rsidR="008A68D0">
        <w:t xml:space="preserve"> (PWS)</w:t>
      </w:r>
      <w:r>
        <w:t xml:space="preserve"> number 1810015, and Country Squire Water </w:t>
      </w:r>
      <w:r w:rsidR="00E363C5">
        <w:t xml:space="preserve">&amp; Sewer, </w:t>
      </w:r>
      <w:r w:rsidR="008A68D0">
        <w:t>PWS</w:t>
      </w:r>
      <w:r>
        <w:t xml:space="preserve"> number</w:t>
      </w:r>
      <w:r w:rsidR="001770CB">
        <w:t xml:space="preserve"> </w:t>
      </w:r>
      <w:r>
        <w:t xml:space="preserve">1810060. </w:t>
      </w:r>
    </w:p>
    <w:p w14:paraId="4FFD4627" w14:textId="49611C88" w:rsidR="00E34FF4" w:rsidRDefault="0071422C">
      <w:pPr>
        <w:pStyle w:val="BodyText"/>
        <w:numPr>
          <w:ilvl w:val="0"/>
          <w:numId w:val="4"/>
        </w:numPr>
        <w:spacing w:before="0"/>
        <w:ind w:left="720" w:right="10"/>
      </w:pPr>
      <w:r>
        <w:lastRenderedPageBreak/>
        <w:t xml:space="preserve">North Orange owns and operates two wastewater treatment plants registered with the TCEQ as Longford Place Wastewater Treatment Plant, under Texas Pollutant Discharge Elimination System </w:t>
      </w:r>
      <w:r w:rsidR="008A68D0">
        <w:t xml:space="preserve">(TPDES) </w:t>
      </w:r>
      <w:r>
        <w:t xml:space="preserve">permit number WQ0011155001, and Country Squire Wastewater Treatment Plant, under </w:t>
      </w:r>
      <w:r w:rsidR="008A68D0">
        <w:t>TPDES</w:t>
      </w:r>
      <w:r>
        <w:t xml:space="preserve"> permit number WQ0011589001.</w:t>
      </w:r>
    </w:p>
    <w:p w14:paraId="4FFD4628" w14:textId="682B95C0" w:rsidR="00E34FF4" w:rsidRDefault="0071422C" w:rsidP="00217478">
      <w:pPr>
        <w:pStyle w:val="FOFNumbered"/>
        <w:numPr>
          <w:ilvl w:val="0"/>
          <w:numId w:val="4"/>
        </w:numPr>
        <w:spacing w:before="0"/>
        <w:ind w:left="720"/>
      </w:pPr>
      <w:r>
        <w:t xml:space="preserve">CSWR-Texas is a Texas limited liability company registered with the </w:t>
      </w:r>
      <w:r w:rsidR="001770CB">
        <w:t>Texas secretary of state</w:t>
      </w:r>
      <w:r w:rsidR="009F2B53">
        <w:t xml:space="preserve"> </w:t>
      </w:r>
      <w:r>
        <w:t>under file number 0803367893.</w:t>
      </w:r>
    </w:p>
    <w:p w14:paraId="4FFD4629" w14:textId="297EB153" w:rsidR="00E34FF4" w:rsidRDefault="0071422C" w:rsidP="00217478">
      <w:pPr>
        <w:pStyle w:val="FoFs"/>
        <w:numPr>
          <w:ilvl w:val="0"/>
          <w:numId w:val="4"/>
        </w:numPr>
        <w:tabs>
          <w:tab w:val="clear" w:pos="720"/>
        </w:tabs>
        <w:spacing w:after="0"/>
        <w:ind w:left="720"/>
      </w:pPr>
      <w:r>
        <w:t xml:space="preserve">CSWR-Texas </w:t>
      </w:r>
      <w:r w:rsidR="00E363C5">
        <w:t xml:space="preserve">is an investor-owned utility that operates, maintains, and controls </w:t>
      </w:r>
      <w:r w:rsidR="00EF2A8F">
        <w:t>facilities</w:t>
      </w:r>
      <w:r w:rsidR="00E363C5">
        <w:t xml:space="preserve"> for providing water service</w:t>
      </w:r>
      <w:r>
        <w:t xml:space="preserve"> in Angelina, Aransas, Austin, Burleson, Burnet, Calhoun, Camp, Denton, Ellis, Erath, Guadalupe, Harris, Hays, Hidalgo, Hood, Kerr, Llano, Lubbock, McCulloch, Montague, Montgomery, Navarro, Parker, Polk, Victoria, Wilson, and Wood counties under CCN </w:t>
      </w:r>
      <w:r w:rsidR="00625FE4">
        <w:t xml:space="preserve">No. </w:t>
      </w:r>
      <w:r>
        <w:t xml:space="preserve"> 13290.</w:t>
      </w:r>
    </w:p>
    <w:p w14:paraId="4FFD462A" w14:textId="52F5DC00" w:rsidR="00E34FF4" w:rsidRDefault="0071422C" w:rsidP="00F2689D">
      <w:pPr>
        <w:pStyle w:val="FoFs"/>
        <w:numPr>
          <w:ilvl w:val="0"/>
          <w:numId w:val="4"/>
        </w:numPr>
        <w:tabs>
          <w:tab w:val="clear" w:pos="720"/>
        </w:tabs>
        <w:ind w:left="720"/>
      </w:pPr>
      <w:r>
        <w:t xml:space="preserve">CSWR-Texas operates, maintains, and controls facilities for providing sewer service in Aransas, Bexar, Calhoun, Hidalgo, Hood, Jackson, Navarro, </w:t>
      </w:r>
      <w:r w:rsidR="00C05128">
        <w:t xml:space="preserve">Orange, </w:t>
      </w:r>
      <w:r>
        <w:t xml:space="preserve">Parker, and Polk counties under CCN </w:t>
      </w:r>
      <w:r w:rsidR="00042440">
        <w:t>No.</w:t>
      </w:r>
      <w:r w:rsidR="009F2B53">
        <w:t xml:space="preserve"> </w:t>
      </w:r>
      <w:r>
        <w:t xml:space="preserve">21120. </w:t>
      </w:r>
    </w:p>
    <w:p w14:paraId="4FFD462B" w14:textId="77777777" w:rsidR="00E34FF4" w:rsidRDefault="0071422C" w:rsidP="00F2689D">
      <w:pPr>
        <w:pStyle w:val="Heading7"/>
        <w:spacing w:before="0" w:after="120"/>
        <w:rPr>
          <w:rFonts w:eastAsia="Times New Roman"/>
          <w:snapToGrid w:val="0"/>
        </w:rPr>
      </w:pPr>
      <w:r>
        <w:rPr>
          <w:rFonts w:eastAsia="Times New Roman"/>
          <w:snapToGrid w:val="0"/>
        </w:rPr>
        <w:t xml:space="preserve">Application </w:t>
      </w:r>
    </w:p>
    <w:p w14:paraId="4FFD462C" w14:textId="3348EF92" w:rsidR="00E34FF4" w:rsidRDefault="0071422C" w:rsidP="00AE07BE">
      <w:pPr>
        <w:pStyle w:val="FOFNumbered"/>
        <w:numPr>
          <w:ilvl w:val="0"/>
          <w:numId w:val="4"/>
        </w:numPr>
        <w:spacing w:before="0"/>
        <w:ind w:left="720"/>
      </w:pPr>
      <w:r>
        <w:t xml:space="preserve">On April 12, 2022, </w:t>
      </w:r>
      <w:r w:rsidR="00E363C5">
        <w:t xml:space="preserve">the </w:t>
      </w:r>
      <w:r w:rsidR="00AE4A1B">
        <w:t>A</w:t>
      </w:r>
      <w:r w:rsidR="00E363C5">
        <w:t>pplicants</w:t>
      </w:r>
      <w:r>
        <w:t xml:space="preserve"> filed the application at issue in this proceeding. </w:t>
      </w:r>
    </w:p>
    <w:p w14:paraId="4FFD462D" w14:textId="7736F9F0" w:rsidR="00E34FF4" w:rsidRDefault="0071422C" w:rsidP="00AE07BE">
      <w:pPr>
        <w:pStyle w:val="FOFNumbered"/>
        <w:numPr>
          <w:ilvl w:val="0"/>
          <w:numId w:val="4"/>
        </w:numPr>
        <w:spacing w:before="0"/>
        <w:ind w:left="720"/>
      </w:pPr>
      <w:r>
        <w:rPr>
          <w:color w:val="000000"/>
        </w:rPr>
        <w:t>CSWR-Texas supplemented the application on April 27, May 9, June 14</w:t>
      </w:r>
      <w:r w:rsidR="00AE07BE">
        <w:rPr>
          <w:color w:val="000000"/>
        </w:rPr>
        <w:t xml:space="preserve"> </w:t>
      </w:r>
      <w:r>
        <w:rPr>
          <w:color w:val="000000"/>
        </w:rPr>
        <w:t xml:space="preserve">and June 20, 2022. </w:t>
      </w:r>
    </w:p>
    <w:p w14:paraId="4FFD462E" w14:textId="64A604DC" w:rsidR="00E34FF4" w:rsidRDefault="0071422C" w:rsidP="00F2689D">
      <w:pPr>
        <w:pStyle w:val="FOFNumbered"/>
        <w:numPr>
          <w:ilvl w:val="0"/>
          <w:numId w:val="4"/>
        </w:numPr>
        <w:spacing w:before="0"/>
        <w:ind w:left="720"/>
        <w:rPr>
          <w:szCs w:val="24"/>
        </w:rPr>
      </w:pPr>
      <w:r w:rsidRPr="00430019">
        <w:t>In</w:t>
      </w:r>
      <w:r>
        <w:rPr>
          <w:szCs w:val="24"/>
        </w:rPr>
        <w:t xml:space="preserve"> the application, the applicants seek approval of the following transaction: (a) CSWR-Texas will acquire all of North Orange</w:t>
      </w:r>
      <w:r w:rsidR="00AE07BE">
        <w:rPr>
          <w:szCs w:val="24"/>
        </w:rPr>
        <w:t>’</w:t>
      </w:r>
      <w:r>
        <w:rPr>
          <w:szCs w:val="24"/>
        </w:rPr>
        <w:t xml:space="preserve">s water and sewer facilities and service areas under CCN </w:t>
      </w:r>
      <w:r w:rsidR="00880783">
        <w:rPr>
          <w:szCs w:val="24"/>
        </w:rPr>
        <w:t>No</w:t>
      </w:r>
      <w:r w:rsidR="00EC2C93">
        <w:rPr>
          <w:szCs w:val="24"/>
        </w:rPr>
        <w:t>s.</w:t>
      </w:r>
      <w:r w:rsidR="00430019">
        <w:rPr>
          <w:szCs w:val="24"/>
        </w:rPr>
        <w:t xml:space="preserve"> </w:t>
      </w:r>
      <w:r>
        <w:rPr>
          <w:szCs w:val="24"/>
        </w:rPr>
        <w:t>11511, 11642, 20564, and 20548; (b) North Orange</w:t>
      </w:r>
      <w:r w:rsidR="00AE07BE">
        <w:rPr>
          <w:szCs w:val="24"/>
        </w:rPr>
        <w:t>’</w:t>
      </w:r>
      <w:r>
        <w:rPr>
          <w:szCs w:val="24"/>
        </w:rPr>
        <w:t xml:space="preserve">s CCN </w:t>
      </w:r>
      <w:r w:rsidR="00880783">
        <w:rPr>
          <w:szCs w:val="24"/>
        </w:rPr>
        <w:t>No</w:t>
      </w:r>
      <w:r w:rsidR="00EC2C93">
        <w:rPr>
          <w:szCs w:val="24"/>
        </w:rPr>
        <w:t>s.</w:t>
      </w:r>
      <w:r w:rsidR="00430019">
        <w:rPr>
          <w:szCs w:val="24"/>
        </w:rPr>
        <w:t xml:space="preserve"> </w:t>
      </w:r>
      <w:r>
        <w:rPr>
          <w:szCs w:val="24"/>
        </w:rPr>
        <w:t xml:space="preserve">11511, 11642, 20564, and 20548 will be cancelled; and (c) CSWR-Texas's water CCN </w:t>
      </w:r>
      <w:r w:rsidR="00880783">
        <w:rPr>
          <w:szCs w:val="24"/>
        </w:rPr>
        <w:t>No.</w:t>
      </w:r>
      <w:r w:rsidR="00F2689D">
        <w:rPr>
          <w:szCs w:val="24"/>
        </w:rPr>
        <w:t xml:space="preserve"> </w:t>
      </w:r>
      <w:r>
        <w:rPr>
          <w:szCs w:val="24"/>
        </w:rPr>
        <w:t xml:space="preserve">13290 and sewer CCN </w:t>
      </w:r>
      <w:r w:rsidR="00880783">
        <w:rPr>
          <w:szCs w:val="24"/>
        </w:rPr>
        <w:t>No.</w:t>
      </w:r>
      <w:r>
        <w:rPr>
          <w:szCs w:val="24"/>
        </w:rPr>
        <w:t xml:space="preserve"> 21120 will be amended to include the areas previously included in North Orange's CCN </w:t>
      </w:r>
      <w:r w:rsidR="00880783">
        <w:rPr>
          <w:szCs w:val="24"/>
        </w:rPr>
        <w:t>No</w:t>
      </w:r>
      <w:r w:rsidR="00A81BA9">
        <w:rPr>
          <w:szCs w:val="24"/>
        </w:rPr>
        <w:t>s.</w:t>
      </w:r>
      <w:r w:rsidR="00F2689D">
        <w:rPr>
          <w:szCs w:val="24"/>
        </w:rPr>
        <w:t xml:space="preserve"> </w:t>
      </w:r>
      <w:r>
        <w:rPr>
          <w:szCs w:val="24"/>
        </w:rPr>
        <w:t xml:space="preserve">11511, 11642, 20564, and 20548. </w:t>
      </w:r>
    </w:p>
    <w:p w14:paraId="4FFD462F" w14:textId="77777777" w:rsidR="00E34FF4" w:rsidRDefault="0071422C" w:rsidP="00AE07BE">
      <w:pPr>
        <w:pStyle w:val="BodyText"/>
        <w:numPr>
          <w:ilvl w:val="0"/>
          <w:numId w:val="4"/>
        </w:numPr>
        <w:spacing w:before="0"/>
        <w:ind w:left="720"/>
      </w:pPr>
      <w:r>
        <w:t>The requested areas are comprised of 299 acres and 346 customer connections.</w:t>
      </w:r>
    </w:p>
    <w:p w14:paraId="4FFD4630" w14:textId="77777777" w:rsidR="00E34FF4" w:rsidRDefault="0071422C" w:rsidP="00AE07BE">
      <w:pPr>
        <w:pStyle w:val="BodyText"/>
        <w:numPr>
          <w:ilvl w:val="0"/>
          <w:numId w:val="4"/>
        </w:numPr>
        <w:spacing w:before="0"/>
        <w:ind w:left="720" w:right="14"/>
      </w:pPr>
      <w:r>
        <w:t>The Country Squire Subdivision requested area is located approximately six miles north of downtown Orange and is generally bounded on the north by a line approximately 167 feet north of and parallel to Buckingham Drive; on the east by Sabine River &amp; Northern Railroad; on the south by the intersection of State Highway 87 and Little Cypress Road; and on the west by Little Cypress Bayou.</w:t>
      </w:r>
    </w:p>
    <w:p w14:paraId="4FFD4631" w14:textId="77777777" w:rsidR="00E34FF4" w:rsidRDefault="0071422C" w:rsidP="00217478">
      <w:pPr>
        <w:pStyle w:val="BodyText"/>
        <w:numPr>
          <w:ilvl w:val="0"/>
          <w:numId w:val="4"/>
        </w:numPr>
        <w:spacing w:before="0"/>
        <w:ind w:left="720" w:right="14"/>
      </w:pPr>
      <w:r>
        <w:t xml:space="preserve">The Longford Place Subdivision requested area is located approximately 4.8 miles north of downtown Orange and is generally bounded on the north by approximately 167 feet </w:t>
      </w:r>
      <w:r>
        <w:lastRenderedPageBreak/>
        <w:t>north of Finwick Road; on the east by Sweetgum Road; on the south by Dawnwood Drive; and on the west by State Highway 87.</w:t>
      </w:r>
    </w:p>
    <w:p w14:paraId="4FFD4632" w14:textId="1CA1CF4F" w:rsidR="00E34FF4" w:rsidRDefault="0071422C" w:rsidP="00217478">
      <w:pPr>
        <w:pStyle w:val="FOFNumbered"/>
        <w:numPr>
          <w:ilvl w:val="0"/>
          <w:numId w:val="4"/>
        </w:numPr>
        <w:spacing w:before="0"/>
        <w:ind w:left="720"/>
      </w:pPr>
      <w:r>
        <w:t>In Order No. 2 filed on May 19, 2022, the ALJ found the application</w:t>
      </w:r>
      <w:r w:rsidR="00E363C5">
        <w:t>, as supplemented,</w:t>
      </w:r>
      <w:r>
        <w:t xml:space="preserve"> administratively complete</w:t>
      </w:r>
      <w:r>
        <w:rPr>
          <w:szCs w:val="24"/>
        </w:rPr>
        <w:t>.</w:t>
      </w:r>
    </w:p>
    <w:p w14:paraId="4FFD4633" w14:textId="77777777" w:rsidR="00E34FF4" w:rsidRDefault="0071422C">
      <w:pPr>
        <w:pStyle w:val="Heading7"/>
        <w:rPr>
          <w:rFonts w:eastAsia="Times New Roman"/>
          <w:snapToGrid w:val="0"/>
        </w:rPr>
      </w:pPr>
      <w:r>
        <w:rPr>
          <w:rFonts w:eastAsia="Times New Roman"/>
          <w:snapToGrid w:val="0"/>
        </w:rPr>
        <w:t>Notice</w:t>
      </w:r>
    </w:p>
    <w:p w14:paraId="4FFD4634" w14:textId="34277B8B" w:rsidR="00E34FF4" w:rsidRDefault="0071422C">
      <w:pPr>
        <w:pStyle w:val="BodyText"/>
        <w:numPr>
          <w:ilvl w:val="0"/>
          <w:numId w:val="4"/>
        </w:numPr>
        <w:ind w:left="720" w:right="10"/>
      </w:pPr>
      <w:r>
        <w:t xml:space="preserve">On June 13, 2022, CSWR-Texas filed the affidavit of </w:t>
      </w:r>
      <w:r w:rsidR="00E363C5">
        <w:t>Russell Mitten</w:t>
      </w:r>
      <w:r>
        <w:t xml:space="preserve">, </w:t>
      </w:r>
      <w:r w:rsidR="00E363C5">
        <w:t>general counsel for</w:t>
      </w:r>
      <w:r>
        <w:t xml:space="preserve"> CSWR-Texas, attesting that notice was provided to all current customers of </w:t>
      </w:r>
      <w:r>
        <w:rPr>
          <w:lang w:eastAsia="zh-TW"/>
        </w:rPr>
        <w:t>North Orange</w:t>
      </w:r>
      <w:r>
        <w:t xml:space="preserve">, neighboring utilities, and affected parties on May </w:t>
      </w:r>
      <w:r w:rsidR="00E363C5">
        <w:t>31</w:t>
      </w:r>
      <w:r>
        <w:t>, 2022.</w:t>
      </w:r>
    </w:p>
    <w:p w14:paraId="4FFD4635" w14:textId="77777777" w:rsidR="00E34FF4" w:rsidRDefault="0071422C" w:rsidP="00217478">
      <w:pPr>
        <w:pStyle w:val="BodyText"/>
        <w:numPr>
          <w:ilvl w:val="0"/>
          <w:numId w:val="4"/>
        </w:numPr>
        <w:spacing w:before="0"/>
        <w:ind w:left="720" w:right="14"/>
      </w:pPr>
      <w:r>
        <w:t xml:space="preserve">In Order No. 3 filed on June 24, 2022, the ALJ deemed the notice sufficient. </w:t>
      </w:r>
    </w:p>
    <w:p w14:paraId="4FFD4636" w14:textId="77777777" w:rsidR="00E34FF4" w:rsidRDefault="0071422C" w:rsidP="00217478">
      <w:pPr>
        <w:pStyle w:val="BodyText"/>
        <w:numPr>
          <w:ilvl w:val="0"/>
          <w:numId w:val="4"/>
        </w:numPr>
        <w:spacing w:before="0"/>
        <w:ind w:left="720" w:right="14"/>
      </w:pPr>
      <w:r>
        <w:t xml:space="preserve">On July 19, 2022, CSWR-Texas filed the supplemental affidavit of Aaron Silas, Regulatory Case Manager of CSWR-Texas, attesting that additional notice was provided to all current customers of </w:t>
      </w:r>
      <w:r>
        <w:rPr>
          <w:lang w:eastAsia="zh-TW"/>
        </w:rPr>
        <w:t>North Orange</w:t>
      </w:r>
      <w:r>
        <w:t xml:space="preserve">, neighboring utilities, and affected parties on July 7, 2022. </w:t>
      </w:r>
    </w:p>
    <w:p w14:paraId="4FFD4637" w14:textId="4A72229A" w:rsidR="00E34FF4" w:rsidRDefault="0071422C" w:rsidP="00217478">
      <w:pPr>
        <w:pStyle w:val="BodyText"/>
        <w:numPr>
          <w:ilvl w:val="0"/>
          <w:numId w:val="4"/>
        </w:numPr>
        <w:spacing w:before="0"/>
        <w:ind w:left="720" w:right="14"/>
      </w:pPr>
      <w:r>
        <w:t xml:space="preserve">On July 19, 2022, CSWR-Texas filed the publisher’s affidavit attesting to the publication of notice in the </w:t>
      </w:r>
      <w:r>
        <w:rPr>
          <w:i/>
        </w:rPr>
        <w:t>Orange Leader</w:t>
      </w:r>
      <w:r>
        <w:t>, a newspaper of general circulation in Orange County, on July 9</w:t>
      </w:r>
      <w:r w:rsidR="003807C7">
        <w:t xml:space="preserve"> </w:t>
      </w:r>
      <w:r>
        <w:t xml:space="preserve">and 16, 2022. </w:t>
      </w:r>
    </w:p>
    <w:p w14:paraId="4FFD4638" w14:textId="77777777" w:rsidR="00E34FF4" w:rsidRDefault="0071422C">
      <w:pPr>
        <w:pStyle w:val="Heading7"/>
      </w:pPr>
      <w:r>
        <w:rPr>
          <w:rFonts w:eastAsia="Times New Roman"/>
          <w:snapToGrid w:val="0"/>
        </w:rPr>
        <w:t>Evidentiary Record</w:t>
      </w:r>
    </w:p>
    <w:p w14:paraId="4FFD4639" w14:textId="77777777" w:rsidR="00E34FF4" w:rsidRDefault="0071422C">
      <w:pPr>
        <w:pStyle w:val="FOFNumbered"/>
        <w:numPr>
          <w:ilvl w:val="0"/>
          <w:numId w:val="4"/>
        </w:numPr>
        <w:ind w:left="720"/>
      </w:pPr>
      <w:r>
        <w:t xml:space="preserve">On September 16, 2022, the parties filed a joint motion to admit evidence. </w:t>
      </w:r>
    </w:p>
    <w:p w14:paraId="4FFD463A" w14:textId="6B1CD292" w:rsidR="00E34FF4" w:rsidRDefault="0071422C" w:rsidP="00217478">
      <w:pPr>
        <w:pStyle w:val="BodyText"/>
        <w:numPr>
          <w:ilvl w:val="0"/>
          <w:numId w:val="4"/>
        </w:numPr>
        <w:spacing w:before="0"/>
        <w:ind w:left="720" w:right="14"/>
        <w:rPr>
          <w:color w:val="000000"/>
          <w:spacing w:val="-2"/>
        </w:rPr>
      </w:pPr>
      <w:r>
        <w:t>In Order No. 4 filed on September 23,</w:t>
      </w:r>
      <w:r w:rsidR="004F3BD8">
        <w:t xml:space="preserve"> </w:t>
      </w:r>
      <w:r>
        <w:t>2022, the ALJ admitted the following evidence into the record: (a) the application and all attachments filed on April 12, 2022; (b) CSWR-Texas' supplements to the application, including all attachments, filed on April 27, May 9, and June 14 and 20, 2022; (c) Commission Staff's recommendation on administrative completeness, notice, and proposed procedural schedule filed on May 12, 2022; (d) CSWR-Texas' proof of notice and affidavit of notice to current customers, neighboring utilities, and affected parties, including attachment, filed on June 13,</w:t>
      </w:r>
      <w:r w:rsidR="006975AF">
        <w:t xml:space="preserve"> </w:t>
      </w:r>
      <w:r>
        <w:t>2022; (e) Commission Staff's recommendation on sufficiency of notice filed on June 22, 2022; (f) CSWR-Texas' supplemental proof of notice and attachment filed on July 19, 2022; and (g) Commission Staff’s recommendation on the transaction and confidential attachment filed on August 30, 2022.</w:t>
      </w:r>
    </w:p>
    <w:p w14:paraId="4FFD463B" w14:textId="7BA2A804" w:rsidR="00E34FF4" w:rsidRDefault="0071422C" w:rsidP="00217478">
      <w:pPr>
        <w:pStyle w:val="BodyText"/>
        <w:numPr>
          <w:ilvl w:val="0"/>
          <w:numId w:val="4"/>
        </w:numPr>
        <w:spacing w:before="0"/>
        <w:ind w:left="720" w:right="14"/>
      </w:pPr>
      <w:bookmarkStart w:id="1" w:name="_Hlk96510888"/>
      <w:r>
        <w:t xml:space="preserve">On </w:t>
      </w:r>
      <w:r w:rsidR="001770CB">
        <w:t>____________,</w:t>
      </w:r>
      <w:r>
        <w:t xml:space="preserve"> the parties filed a joint supplemental motion to admit evidence.</w:t>
      </w:r>
    </w:p>
    <w:p w14:paraId="4FFD463C" w14:textId="17A65CFE" w:rsidR="00E34FF4" w:rsidRDefault="0071422C" w:rsidP="00217478">
      <w:pPr>
        <w:pStyle w:val="BodyText"/>
        <w:numPr>
          <w:ilvl w:val="0"/>
          <w:numId w:val="4"/>
        </w:numPr>
        <w:spacing w:before="0"/>
        <w:ind w:left="720" w:right="14"/>
      </w:pPr>
      <w:r>
        <w:t>In Order No. __ filed on ____________, 202</w:t>
      </w:r>
      <w:r w:rsidR="00AE4A1B">
        <w:t>3</w:t>
      </w:r>
      <w:r>
        <w:t xml:space="preserve">, the ALJ admitted the following additional evidence into the record: (a) the applicants’ bill of sale and assignment filed on November </w:t>
      </w:r>
      <w:r>
        <w:lastRenderedPageBreak/>
        <w:t>17, 2022; (b) Commission Staff’s recommendation on sufficiency of closing documents filed on December 2, 2022; (c) the applicants’ consent forms filed on December 28, 2022; and (d) the map</w:t>
      </w:r>
      <w:r w:rsidR="002452CD">
        <w:t>s</w:t>
      </w:r>
      <w:r>
        <w:t>, certificate</w:t>
      </w:r>
      <w:r w:rsidR="002452CD">
        <w:t>s</w:t>
      </w:r>
      <w:r>
        <w:t>, and tariff</w:t>
      </w:r>
      <w:r w:rsidR="002452CD">
        <w:t>s</w:t>
      </w:r>
      <w:r>
        <w:t xml:space="preserve"> attached to the joint supplemental motion to admit evidence and joint proposed notice of approval filed on January __, 2023.</w:t>
      </w:r>
    </w:p>
    <w:p w14:paraId="4FFD463D" w14:textId="77777777" w:rsidR="00E34FF4" w:rsidRDefault="0071422C">
      <w:pPr>
        <w:pStyle w:val="BodyText"/>
        <w:tabs>
          <w:tab w:val="left" w:pos="821"/>
        </w:tabs>
        <w:spacing w:before="0" w:after="120"/>
        <w:ind w:firstLine="0"/>
        <w:rPr>
          <w:b/>
          <w:bCs/>
          <w:i/>
          <w:iCs/>
          <w:u w:val="single"/>
        </w:rPr>
      </w:pPr>
      <w:bookmarkStart w:id="2" w:name="_Hlk94609276"/>
      <w:r>
        <w:rPr>
          <w:b/>
          <w:bCs/>
          <w:i/>
          <w:iCs/>
          <w:u w:val="single"/>
        </w:rPr>
        <w:t>Sale</w:t>
      </w:r>
    </w:p>
    <w:p w14:paraId="4FFD463E" w14:textId="77777777" w:rsidR="00E34FF4" w:rsidRDefault="0071422C" w:rsidP="00217478">
      <w:pPr>
        <w:pStyle w:val="BodyText"/>
        <w:numPr>
          <w:ilvl w:val="0"/>
          <w:numId w:val="4"/>
        </w:numPr>
        <w:spacing w:before="0"/>
        <w:ind w:left="720" w:right="14"/>
      </w:pPr>
      <w:r>
        <w:t>In Order No. 5 filed on October 4, 2022, the ALJ approved the sale and transaction to proceed and required the applicants to file proof that the transaction had closed, and the customer deposits had been addressed.</w:t>
      </w:r>
    </w:p>
    <w:p w14:paraId="4FFD463F" w14:textId="77777777" w:rsidR="00E34FF4" w:rsidRDefault="0071422C" w:rsidP="00217478">
      <w:pPr>
        <w:pStyle w:val="BodyText"/>
        <w:numPr>
          <w:ilvl w:val="0"/>
          <w:numId w:val="4"/>
        </w:numPr>
        <w:spacing w:before="0"/>
        <w:ind w:left="720" w:right="14"/>
      </w:pPr>
      <w:r>
        <w:t>On November 17, 2022, the applicants filed notice that the sale had closed on October 31, 2022, and confirmed that there were no outstanding customer deposits that needed to be addressed.</w:t>
      </w:r>
    </w:p>
    <w:p w14:paraId="4FFD4640" w14:textId="77777777" w:rsidR="00E34FF4" w:rsidRDefault="0071422C" w:rsidP="00217478">
      <w:pPr>
        <w:pStyle w:val="BodyText"/>
        <w:numPr>
          <w:ilvl w:val="0"/>
          <w:numId w:val="4"/>
        </w:numPr>
        <w:spacing w:before="0"/>
        <w:ind w:left="720" w:right="14"/>
      </w:pPr>
      <w:r>
        <w:t>In Order No. 6 filed on December 6, 2022, the ALJ found the closing documents sufficient.</w:t>
      </w:r>
      <w:bookmarkEnd w:id="2"/>
    </w:p>
    <w:bookmarkEnd w:id="1"/>
    <w:p w14:paraId="4FFD4641" w14:textId="77777777" w:rsidR="00E34FF4" w:rsidRDefault="0071422C">
      <w:pPr>
        <w:pStyle w:val="Heading7"/>
      </w:pPr>
      <w:r>
        <w:t>Cumulative Recommendation</w:t>
      </w:r>
    </w:p>
    <w:p w14:paraId="4FFD4642" w14:textId="77777777" w:rsidR="00E34FF4" w:rsidRDefault="0071422C" w:rsidP="00217478">
      <w:pPr>
        <w:pStyle w:val="BodyText"/>
        <w:numPr>
          <w:ilvl w:val="0"/>
          <w:numId w:val="4"/>
        </w:numPr>
        <w:ind w:left="720" w:right="14"/>
      </w:pPr>
      <w:r>
        <w:t>In Order No. 1 filed on April, 14, 2022, the ALJ directed Commission Staff to cumulatively consider all CSWR-Texas related dockets involving the sale, transfer, or merger of public water systems.  When formulating its recommendation, the ALJ specifically required Commission Staff to consider whether CSWR-Texas had adequate, financial, managerial, and technical capability for providing continuous and adequate service to the systems being transferred as a whole rather than on an individual basis.</w:t>
      </w:r>
    </w:p>
    <w:p w14:paraId="4FFD4643" w14:textId="03273A16" w:rsidR="00E34FF4" w:rsidRDefault="0071422C" w:rsidP="00217478">
      <w:pPr>
        <w:pStyle w:val="BodyText"/>
        <w:numPr>
          <w:ilvl w:val="0"/>
          <w:numId w:val="4"/>
        </w:numPr>
        <w:spacing w:before="0"/>
        <w:ind w:left="720" w:right="14"/>
        <w:rPr>
          <w:color w:val="000000"/>
        </w:rPr>
      </w:pPr>
      <w:r>
        <w:t xml:space="preserve">On August 30, 2022, Commission Staff filed its recommendation on the transaction in this docket recommending that CSWR-Texas </w:t>
      </w:r>
      <w:r w:rsidR="001770CB">
        <w:t>has</w:t>
      </w:r>
      <w:r>
        <w:t xml:space="preserve"> the financial, managerial, and technical capability to provide continuous and adequate service to all areas included in this docket </w:t>
      </w:r>
      <w:r>
        <w:lastRenderedPageBreak/>
        <w:t xml:space="preserve">and in </w:t>
      </w:r>
      <w:bookmarkStart w:id="3" w:name="_Hlk108791152"/>
      <w:r>
        <w:t xml:space="preserve">Docket Nos. </w:t>
      </w:r>
      <w:bookmarkEnd w:id="3"/>
      <w:r>
        <w:t>50251,</w:t>
      </w:r>
      <w:r>
        <w:rPr>
          <w:vertAlign w:val="superscript"/>
        </w:rPr>
        <w:footnoteReference w:id="1"/>
      </w:r>
      <w:r>
        <w:t xml:space="preserve"> 50276,</w:t>
      </w:r>
      <w:r>
        <w:rPr>
          <w:vertAlign w:val="superscript"/>
        </w:rPr>
        <w:footnoteReference w:id="2"/>
      </w:r>
      <w:r>
        <w:t xml:space="preserve"> 50311,</w:t>
      </w:r>
      <w:r>
        <w:rPr>
          <w:vertAlign w:val="superscript"/>
        </w:rPr>
        <w:footnoteReference w:id="3"/>
      </w:r>
      <w:r>
        <w:rPr>
          <w:vertAlign w:val="superscript"/>
        </w:rPr>
        <w:t xml:space="preserve"> </w:t>
      </w:r>
      <w:r>
        <w:t>50989,</w:t>
      </w:r>
      <w:r>
        <w:rPr>
          <w:vertAlign w:val="superscript"/>
        </w:rPr>
        <w:footnoteReference w:id="4"/>
      </w:r>
      <w:r>
        <w:t xml:space="preserve"> 51003,</w:t>
      </w:r>
      <w:r>
        <w:rPr>
          <w:vertAlign w:val="superscript"/>
        </w:rPr>
        <w:t xml:space="preserve"> </w:t>
      </w:r>
      <w:r>
        <w:rPr>
          <w:vertAlign w:val="superscript"/>
        </w:rPr>
        <w:footnoteReference w:id="5"/>
      </w:r>
      <w:r>
        <w:t>51026,</w:t>
      </w:r>
      <w:r>
        <w:rPr>
          <w:vertAlign w:val="superscript"/>
        </w:rPr>
        <w:footnoteReference w:id="6"/>
      </w:r>
      <w:r>
        <w:t xml:space="preserve"> 51031,</w:t>
      </w:r>
      <w:r>
        <w:rPr>
          <w:vertAlign w:val="superscript"/>
        </w:rPr>
        <w:footnoteReference w:id="7"/>
      </w:r>
      <w:r>
        <w:t xml:space="preserve"> 51036,</w:t>
      </w:r>
      <w:r>
        <w:rPr>
          <w:vertAlign w:val="superscript"/>
        </w:rPr>
        <w:footnoteReference w:id="8"/>
      </w:r>
      <w:r>
        <w:t xml:space="preserve"> 51047,</w:t>
      </w:r>
      <w:r>
        <w:rPr>
          <w:vertAlign w:val="superscript"/>
        </w:rPr>
        <w:footnoteReference w:id="9"/>
      </w:r>
      <w:r>
        <w:t xml:space="preserve"> 51065,</w:t>
      </w:r>
      <w:r>
        <w:rPr>
          <w:vertAlign w:val="superscript"/>
        </w:rPr>
        <w:footnoteReference w:id="10"/>
      </w:r>
      <w:r>
        <w:t xml:space="preserve"> 51089,</w:t>
      </w:r>
      <w:r>
        <w:rPr>
          <w:vertAlign w:val="superscript"/>
        </w:rPr>
        <w:footnoteReference w:id="11"/>
      </w:r>
      <w:r>
        <w:t xml:space="preserve"> 51118,</w:t>
      </w:r>
      <w:r>
        <w:rPr>
          <w:vertAlign w:val="superscript"/>
        </w:rPr>
        <w:footnoteReference w:id="12"/>
      </w:r>
      <w:r>
        <w:t xml:space="preserve"> 51126,</w:t>
      </w:r>
      <w:r>
        <w:rPr>
          <w:vertAlign w:val="superscript"/>
        </w:rPr>
        <w:footnoteReference w:id="13"/>
      </w:r>
      <w:r>
        <w:t xml:space="preserve"> 51130,</w:t>
      </w:r>
      <w:r>
        <w:rPr>
          <w:vertAlign w:val="superscript"/>
        </w:rPr>
        <w:footnoteReference w:id="14"/>
      </w:r>
      <w:r>
        <w:t xml:space="preserve"> 51146,</w:t>
      </w:r>
      <w:r>
        <w:rPr>
          <w:vertAlign w:val="superscript"/>
        </w:rPr>
        <w:footnoteReference w:id="15"/>
      </w:r>
      <w:r>
        <w:t xml:space="preserve"> 51222,</w:t>
      </w:r>
      <w:r>
        <w:rPr>
          <w:vertAlign w:val="superscript"/>
        </w:rPr>
        <w:footnoteReference w:id="16"/>
      </w:r>
      <w:r>
        <w:t xml:space="preserve"> 51544,</w:t>
      </w:r>
      <w:r>
        <w:rPr>
          <w:vertAlign w:val="superscript"/>
        </w:rPr>
        <w:footnoteReference w:id="17"/>
      </w:r>
      <w:r>
        <w:t xml:space="preserve"> 51642,</w:t>
      </w:r>
      <w:bookmarkStart w:id="4" w:name="_Hlk80275489"/>
      <w:r>
        <w:rPr>
          <w:vertAlign w:val="superscript"/>
        </w:rPr>
        <w:footnoteReference w:id="18"/>
      </w:r>
      <w:r>
        <w:t xml:space="preserve"> </w:t>
      </w:r>
      <w:r>
        <w:lastRenderedPageBreak/>
        <w:t>51917,</w:t>
      </w:r>
      <w:r>
        <w:rPr>
          <w:vertAlign w:val="superscript"/>
        </w:rPr>
        <w:footnoteReference w:id="19"/>
      </w:r>
      <w:r>
        <w:t xml:space="preserve"> 51928,</w:t>
      </w:r>
      <w:r>
        <w:rPr>
          <w:vertAlign w:val="superscript"/>
        </w:rPr>
        <w:footnoteReference w:id="20"/>
      </w:r>
      <w:r>
        <w:t xml:space="preserve"> 51940,</w:t>
      </w:r>
      <w:r>
        <w:rPr>
          <w:vertAlign w:val="superscript"/>
        </w:rPr>
        <w:footnoteReference w:id="21"/>
      </w:r>
      <w:r>
        <w:t xml:space="preserve"> 51981,</w:t>
      </w:r>
      <w:r>
        <w:rPr>
          <w:vertAlign w:val="superscript"/>
        </w:rPr>
        <w:footnoteReference w:id="22"/>
      </w:r>
      <w:r>
        <w:t xml:space="preserve"> </w:t>
      </w:r>
      <w:bookmarkEnd w:id="4"/>
      <w:r>
        <w:t>52089,</w:t>
      </w:r>
      <w:r>
        <w:rPr>
          <w:vertAlign w:val="superscript"/>
        </w:rPr>
        <w:footnoteReference w:id="23"/>
      </w:r>
      <w:r>
        <w:t xml:space="preserve"> 52099,</w:t>
      </w:r>
      <w:r>
        <w:rPr>
          <w:vertAlign w:val="superscript"/>
        </w:rPr>
        <w:footnoteReference w:id="24"/>
      </w:r>
      <w:r>
        <w:t xml:space="preserve"> 52410,</w:t>
      </w:r>
      <w:r>
        <w:rPr>
          <w:vertAlign w:val="superscript"/>
        </w:rPr>
        <w:footnoteReference w:id="25"/>
      </w:r>
      <w:r>
        <w:t xml:space="preserve"> 52661,</w:t>
      </w:r>
      <w:r>
        <w:rPr>
          <w:vertAlign w:val="superscript"/>
        </w:rPr>
        <w:footnoteReference w:id="26"/>
      </w:r>
      <w:r>
        <w:t xml:space="preserve"> 52700,</w:t>
      </w:r>
      <w:r>
        <w:rPr>
          <w:vertAlign w:val="superscript"/>
        </w:rPr>
        <w:footnoteReference w:id="27"/>
      </w:r>
      <w:r>
        <w:t xml:space="preserve"> 52702,</w:t>
      </w:r>
      <w:r>
        <w:rPr>
          <w:vertAlign w:val="superscript"/>
        </w:rPr>
        <w:footnoteReference w:id="28"/>
      </w:r>
      <w:r>
        <w:t xml:space="preserve"> 52803,</w:t>
      </w:r>
      <w:r>
        <w:rPr>
          <w:vertAlign w:val="superscript"/>
        </w:rPr>
        <w:footnoteReference w:id="29"/>
      </w:r>
      <w:r>
        <w:t xml:space="preserve"> 52879,</w:t>
      </w:r>
      <w:r>
        <w:rPr>
          <w:vertAlign w:val="superscript"/>
        </w:rPr>
        <w:footnoteReference w:id="30"/>
      </w:r>
      <w:r>
        <w:t xml:space="preserve"> 52880,</w:t>
      </w:r>
      <w:r>
        <w:rPr>
          <w:vertAlign w:val="superscript"/>
        </w:rPr>
        <w:footnoteReference w:id="31"/>
      </w:r>
      <w:r>
        <w:t xml:space="preserve"> 53238,</w:t>
      </w:r>
      <w:r>
        <w:rPr>
          <w:rStyle w:val="FootnoteReference"/>
        </w:rPr>
        <w:footnoteReference w:id="32"/>
      </w:r>
      <w:r>
        <w:t xml:space="preserve"> 53259,</w:t>
      </w:r>
      <w:r>
        <w:rPr>
          <w:rStyle w:val="FootnoteReference"/>
        </w:rPr>
        <w:footnoteReference w:id="33"/>
      </w:r>
      <w:r>
        <w:t xml:space="preserve"> 53317,</w:t>
      </w:r>
      <w:r>
        <w:rPr>
          <w:rStyle w:val="FootnoteReference"/>
        </w:rPr>
        <w:footnoteReference w:id="34"/>
      </w:r>
      <w:r>
        <w:t xml:space="preserve"> 53326,</w:t>
      </w:r>
      <w:r>
        <w:rPr>
          <w:rStyle w:val="FootnoteReference"/>
        </w:rPr>
        <w:footnoteReference w:id="35"/>
      </w:r>
      <w:r>
        <w:t xml:space="preserve"> 53429,</w:t>
      </w:r>
      <w:r>
        <w:rPr>
          <w:rStyle w:val="FootnoteReference"/>
        </w:rPr>
        <w:footnoteReference w:id="36"/>
      </w:r>
      <w:r>
        <w:t xml:space="preserve"> 53430,</w:t>
      </w:r>
      <w:r>
        <w:rPr>
          <w:rStyle w:val="FootnoteReference"/>
        </w:rPr>
        <w:footnoteReference w:id="37"/>
      </w:r>
      <w:r>
        <w:t xml:space="preserve"> 53456,</w:t>
      </w:r>
      <w:r>
        <w:rPr>
          <w:rStyle w:val="FootnoteReference"/>
        </w:rPr>
        <w:footnoteReference w:id="38"/>
      </w:r>
      <w:r>
        <w:t xml:space="preserve"> and 53607.</w:t>
      </w:r>
      <w:r>
        <w:rPr>
          <w:rStyle w:val="FootnoteReference"/>
        </w:rPr>
        <w:footnoteReference w:id="39"/>
      </w:r>
    </w:p>
    <w:p w14:paraId="7DCE4A61" w14:textId="2D59EB7B" w:rsidR="00B0400A" w:rsidRDefault="00B0400A">
      <w:pPr>
        <w:pStyle w:val="Heading7"/>
        <w:rPr>
          <w:rFonts w:eastAsia="Times New Roman"/>
          <w:snapToGrid w:val="0"/>
        </w:rPr>
      </w:pPr>
      <w:r>
        <w:rPr>
          <w:rFonts w:eastAsia="Times New Roman"/>
          <w:snapToGrid w:val="0"/>
        </w:rPr>
        <w:lastRenderedPageBreak/>
        <w:t>Purchaser’s Compliance History</w:t>
      </w:r>
    </w:p>
    <w:p w14:paraId="6DABA5B9" w14:textId="70EAA531" w:rsidR="00B0400A" w:rsidRDefault="00B0400A" w:rsidP="00217478">
      <w:pPr>
        <w:pStyle w:val="FOFNumbered"/>
        <w:numPr>
          <w:ilvl w:val="0"/>
          <w:numId w:val="4"/>
        </w:numPr>
        <w:ind w:left="720"/>
      </w:pPr>
      <w:r>
        <w:t>CSWR-Texas has not been under an enforcement action by the Commission, TCEQ, Texas Health and Human Services, the Office of the Texas Attorney General, or the United States Environmental Protection Agency in the past five years for non-compliance with rules, orders, or state statutes.</w:t>
      </w:r>
    </w:p>
    <w:p w14:paraId="4F59846D" w14:textId="13CCCE33" w:rsidR="00B0400A" w:rsidRDefault="00B0400A" w:rsidP="00217478">
      <w:pPr>
        <w:pStyle w:val="FOFNumbered"/>
        <w:numPr>
          <w:ilvl w:val="0"/>
          <w:numId w:val="4"/>
        </w:numPr>
        <w:spacing w:before="0"/>
        <w:ind w:left="720"/>
      </w:pPr>
      <w:r>
        <w:t>CSWR-Texas does not have a history of continuing mismanagement or misuse of revenues as a utility service provider.</w:t>
      </w:r>
    </w:p>
    <w:p w14:paraId="330F2F6E" w14:textId="54810857" w:rsidR="00B0400A" w:rsidRPr="00B0400A" w:rsidRDefault="00B0400A" w:rsidP="00217478">
      <w:pPr>
        <w:pStyle w:val="FOFNumbered"/>
        <w:numPr>
          <w:ilvl w:val="0"/>
          <w:numId w:val="4"/>
        </w:numPr>
        <w:spacing w:before="0"/>
        <w:ind w:left="720"/>
      </w:pPr>
      <w:r>
        <w:t>CSWR-Texas demonstrated a compliance history that is adequate for approval of this transaction.</w:t>
      </w:r>
    </w:p>
    <w:p w14:paraId="4FFD4644" w14:textId="644A3717" w:rsidR="00E34FF4" w:rsidRDefault="0071422C">
      <w:pPr>
        <w:pStyle w:val="Heading7"/>
        <w:rPr>
          <w:rFonts w:eastAsia="Times New Roman"/>
          <w:snapToGrid w:val="0"/>
        </w:rPr>
      </w:pPr>
      <w:r>
        <w:rPr>
          <w:rFonts w:eastAsia="Times New Roman"/>
          <w:snapToGrid w:val="0"/>
        </w:rPr>
        <w:t>Adequacy of Existing Service</w:t>
      </w:r>
    </w:p>
    <w:p w14:paraId="4FFD4646" w14:textId="5F64DE38" w:rsidR="00E34FF4" w:rsidRDefault="008A68D0" w:rsidP="00217478">
      <w:pPr>
        <w:pStyle w:val="FOFNumbered"/>
        <w:numPr>
          <w:ilvl w:val="0"/>
          <w:numId w:val="4"/>
        </w:numPr>
        <w:ind w:left="720"/>
      </w:pPr>
      <w:r>
        <w:t>There are currently 346 customer connections in the 299-acre requested areas that are being served by North Orange through PWS numbers 1810015 and 1810060 and TPDES permit numbers WQ0011155001 and WQ0011589001 and such service has been adequate.</w:t>
      </w:r>
    </w:p>
    <w:p w14:paraId="4FFD4647" w14:textId="38FB445B" w:rsidR="00E34FF4" w:rsidRDefault="008A68D0" w:rsidP="00217478">
      <w:pPr>
        <w:pStyle w:val="FOFNumbered"/>
        <w:numPr>
          <w:ilvl w:val="0"/>
          <w:numId w:val="4"/>
        </w:numPr>
        <w:spacing w:before="0"/>
        <w:ind w:left="720"/>
      </w:pPr>
      <w:r>
        <w:t>North Orange’s PWS numbers 1810015 and 1810060 and TPDES permit numbers WQ0011155001 and WQ0011589001 all have violations in the TCEQ database</w:t>
      </w:r>
      <w:r w:rsidR="007E3169">
        <w:t>.</w:t>
      </w:r>
    </w:p>
    <w:p w14:paraId="4FFD4648" w14:textId="77777777" w:rsidR="00E34FF4" w:rsidRDefault="0071422C" w:rsidP="00217478">
      <w:pPr>
        <w:pStyle w:val="FOFNumbered"/>
        <w:numPr>
          <w:ilvl w:val="0"/>
          <w:numId w:val="4"/>
        </w:numPr>
        <w:spacing w:before="0"/>
        <w:ind w:left="720"/>
      </w:pPr>
      <w:r>
        <w:t xml:space="preserve">CSWR-Texas intends to invest the capital required to make the upgrades, renovations, and repairs necessary to bring the water system into compliance with TCEQ regulations and to </w:t>
      </w:r>
      <w:r>
        <w:lastRenderedPageBreak/>
        <w:t xml:space="preserve">ensure customers receive safe and reliable service within a reasonable time upon consummation of the transaction. </w:t>
      </w:r>
    </w:p>
    <w:p w14:paraId="4FFD4649" w14:textId="3C1AF81C" w:rsidR="00E34FF4" w:rsidRDefault="0071422C" w:rsidP="00217478">
      <w:pPr>
        <w:pStyle w:val="FOFNumbered"/>
        <w:numPr>
          <w:ilvl w:val="0"/>
          <w:numId w:val="4"/>
        </w:numPr>
        <w:spacing w:before="0"/>
        <w:ind w:left="720"/>
      </w:pPr>
      <w:r>
        <w:t xml:space="preserve">CSWR-Texas has agreed to work with the TCEQ to address any outstanding compliance issues upon consummation of the transaction. Upon resolution of these issues, all existing waste and wastewater service will be considered adequate. </w:t>
      </w:r>
    </w:p>
    <w:p w14:paraId="71AD2DE6" w14:textId="68B0D9AA" w:rsidR="008A68D0" w:rsidRDefault="008A68D0" w:rsidP="00217478">
      <w:pPr>
        <w:pStyle w:val="FOFNumbered"/>
        <w:numPr>
          <w:ilvl w:val="0"/>
          <w:numId w:val="4"/>
        </w:numPr>
        <w:spacing w:before="0"/>
        <w:ind w:left="720"/>
      </w:pPr>
      <w:r>
        <w:t>The Commission’s complaint records, which date back to 2017, show six complaints against North Orange. All the complaints have been closed by the Commission’s Customer Protection Division.</w:t>
      </w:r>
    </w:p>
    <w:p w14:paraId="4FFD464A" w14:textId="081F35D8" w:rsidR="00E34FF4" w:rsidRDefault="008A68D0" w:rsidP="00217478">
      <w:pPr>
        <w:pStyle w:val="FOFNumbered"/>
        <w:numPr>
          <w:ilvl w:val="0"/>
          <w:numId w:val="4"/>
        </w:numPr>
        <w:spacing w:before="0"/>
        <w:ind w:left="720"/>
      </w:pPr>
      <w:r w:rsidRPr="00217478">
        <w:t>There</w:t>
      </w:r>
      <w:r>
        <w:rPr>
          <w:szCs w:val="24"/>
        </w:rPr>
        <w:t xml:space="preserve"> is no evidence in the record that North Orange has failed to comply with any Commission or TCEQ order</w:t>
      </w:r>
      <w:r w:rsidR="0071422C">
        <w:rPr>
          <w:szCs w:val="24"/>
        </w:rPr>
        <w:t xml:space="preserve">. </w:t>
      </w:r>
      <w:r w:rsidR="0071422C">
        <w:t xml:space="preserve">  </w:t>
      </w:r>
    </w:p>
    <w:p w14:paraId="4FFD464B" w14:textId="77777777" w:rsidR="00E34FF4" w:rsidRDefault="0071422C">
      <w:pPr>
        <w:pStyle w:val="Heading7"/>
      </w:pPr>
      <w:r>
        <w:t xml:space="preserve">Need for Additional Service </w:t>
      </w:r>
    </w:p>
    <w:p w14:paraId="4FFD464C" w14:textId="704A4B3A" w:rsidR="00E34FF4" w:rsidRDefault="0071422C" w:rsidP="00217478">
      <w:pPr>
        <w:pStyle w:val="FOFNumbered"/>
        <w:numPr>
          <w:ilvl w:val="0"/>
          <w:numId w:val="4"/>
        </w:numPr>
        <w:ind w:left="720"/>
      </w:pPr>
      <w:r w:rsidRPr="00217478">
        <w:t>There is a continuing need for service because North Orange currently serv</w:t>
      </w:r>
      <w:r w:rsidR="008A68D0" w:rsidRPr="00217478">
        <w:t>es</w:t>
      </w:r>
      <w:r w:rsidRPr="00217478">
        <w:t xml:space="preserve"> 346 </w:t>
      </w:r>
      <w:r w:rsidR="008A68D0" w:rsidRPr="00217478">
        <w:t>connections in the requested area</w:t>
      </w:r>
      <w:r w:rsidRPr="00217478">
        <w:t>.</w:t>
      </w:r>
      <w:r>
        <w:t xml:space="preserve">  </w:t>
      </w:r>
    </w:p>
    <w:p w14:paraId="4FFD464D" w14:textId="4A792D96" w:rsidR="00E34FF4" w:rsidRDefault="008A68D0" w:rsidP="00217478">
      <w:pPr>
        <w:pStyle w:val="FOFNumbered"/>
        <w:numPr>
          <w:ilvl w:val="0"/>
          <w:numId w:val="4"/>
        </w:numPr>
        <w:spacing w:before="0"/>
        <w:ind w:left="720"/>
      </w:pPr>
      <w:r w:rsidRPr="00217478">
        <w:t>This is</w:t>
      </w:r>
      <w:r>
        <w:rPr>
          <w:color w:val="000000"/>
        </w:rPr>
        <w:t xml:space="preserve"> an application to transfer only existing facilities, customers, and service area. </w:t>
      </w:r>
      <w:r w:rsidR="0071422C">
        <w:rPr>
          <w:color w:val="000000"/>
        </w:rPr>
        <w:t>There have been no specific requests for additional service within the requested areas</w:t>
      </w:r>
      <w:r w:rsidR="0071422C">
        <w:t>.</w:t>
      </w:r>
    </w:p>
    <w:p w14:paraId="4FFD464E" w14:textId="77777777" w:rsidR="00E34FF4" w:rsidRDefault="0071422C">
      <w:pPr>
        <w:pStyle w:val="Heading7"/>
        <w:jc w:val="both"/>
      </w:pPr>
      <w:r>
        <w:t xml:space="preserve">Effect of Approving the Transaction and Granting the Amendment </w:t>
      </w:r>
    </w:p>
    <w:p w14:paraId="4FFD464F" w14:textId="77777777" w:rsidR="00E34FF4" w:rsidRPr="00217478" w:rsidRDefault="0071422C" w:rsidP="00217478">
      <w:pPr>
        <w:pStyle w:val="FOFNumbered"/>
        <w:numPr>
          <w:ilvl w:val="0"/>
          <w:numId w:val="4"/>
        </w:numPr>
        <w:ind w:left="720"/>
      </w:pPr>
      <w:r w:rsidRPr="00217478">
        <w:t>Approving the sale and transfer to proceed and granting the CCN amendment will obligate CSWR-Texas to provide continuous and adequate water service to current and future customers in the requested areas</w:t>
      </w:r>
      <w:r>
        <w:t>.</w:t>
      </w:r>
    </w:p>
    <w:p w14:paraId="4FFD4650" w14:textId="2B149B42" w:rsidR="00E34FF4" w:rsidRDefault="0071422C" w:rsidP="00217478">
      <w:pPr>
        <w:pStyle w:val="FOFNumbered"/>
        <w:numPr>
          <w:ilvl w:val="0"/>
          <w:numId w:val="4"/>
        </w:numPr>
        <w:spacing w:before="0"/>
        <w:ind w:left="720"/>
      </w:pPr>
      <w:r w:rsidRPr="00217478">
        <w:t>Because this application is to transfer only existing facilities, customers, and service area</w:t>
      </w:r>
      <w:r w:rsidR="00B544D4" w:rsidRPr="00217478">
        <w:t>s</w:t>
      </w:r>
      <w:r w:rsidRPr="00217478">
        <w:t>, there will be no effect on any other retail public utility servicing the proximate area.</w:t>
      </w:r>
    </w:p>
    <w:p w14:paraId="4FFD4652" w14:textId="27B031F1" w:rsidR="00E34FF4" w:rsidRDefault="0071422C" w:rsidP="00217478">
      <w:pPr>
        <w:pStyle w:val="FOFNumbered"/>
        <w:numPr>
          <w:ilvl w:val="0"/>
          <w:numId w:val="4"/>
        </w:numPr>
        <w:spacing w:before="0"/>
        <w:ind w:left="720"/>
      </w:pPr>
      <w:r w:rsidRPr="00217478">
        <w:t>There will</w:t>
      </w:r>
      <w:r>
        <w:rPr>
          <w:color w:val="000000"/>
        </w:rPr>
        <w:t xml:space="preserve"> be no effect on landowners </w:t>
      </w:r>
      <w:r w:rsidR="008A68D0">
        <w:rPr>
          <w:color w:val="000000"/>
        </w:rPr>
        <w:t xml:space="preserve">because </w:t>
      </w:r>
      <w:r>
        <w:rPr>
          <w:color w:val="000000"/>
        </w:rPr>
        <w:t>the</w:t>
      </w:r>
      <w:r w:rsidR="008A68D0">
        <w:rPr>
          <w:color w:val="000000"/>
        </w:rPr>
        <w:t xml:space="preserve"> requested</w:t>
      </w:r>
      <w:r>
        <w:rPr>
          <w:color w:val="000000"/>
        </w:rPr>
        <w:t xml:space="preserve"> area</w:t>
      </w:r>
      <w:r w:rsidR="008A68D0">
        <w:rPr>
          <w:color w:val="000000"/>
        </w:rPr>
        <w:t>s</w:t>
      </w:r>
      <w:r>
        <w:rPr>
          <w:color w:val="000000"/>
        </w:rPr>
        <w:t xml:space="preserve"> </w:t>
      </w:r>
      <w:r w:rsidR="008A68D0">
        <w:rPr>
          <w:color w:val="000000"/>
        </w:rPr>
        <w:t xml:space="preserve">are </w:t>
      </w:r>
      <w:r>
        <w:rPr>
          <w:color w:val="000000"/>
        </w:rPr>
        <w:t>currently certificated.</w:t>
      </w:r>
    </w:p>
    <w:p w14:paraId="4FFD4653" w14:textId="77777777" w:rsidR="00E34FF4" w:rsidRDefault="0071422C">
      <w:pPr>
        <w:pStyle w:val="Heading7"/>
        <w:jc w:val="both"/>
      </w:pPr>
      <w:r>
        <w:t xml:space="preserve">Ability to Serve: Managerial and Technical </w:t>
      </w:r>
    </w:p>
    <w:p w14:paraId="4FFD4654" w14:textId="5752F37B" w:rsidR="00E34FF4" w:rsidRDefault="0071422C" w:rsidP="00217478">
      <w:pPr>
        <w:pStyle w:val="FOFNumbered"/>
        <w:numPr>
          <w:ilvl w:val="0"/>
          <w:numId w:val="4"/>
        </w:numPr>
        <w:ind w:left="720"/>
      </w:pPr>
      <w:r>
        <w:t xml:space="preserve">CSWR-Texas owns and operates </w:t>
      </w:r>
      <w:r w:rsidR="008A68D0">
        <w:t xml:space="preserve">several </w:t>
      </w:r>
      <w:r>
        <w:t>public water systems and wastewater systems registered with the TCEQ.</w:t>
      </w:r>
    </w:p>
    <w:p w14:paraId="7D9DE178" w14:textId="3B70243E" w:rsidR="008A68D0" w:rsidRDefault="008A68D0" w:rsidP="00217478">
      <w:pPr>
        <w:pStyle w:val="FOFNumbered"/>
        <w:numPr>
          <w:ilvl w:val="0"/>
          <w:numId w:val="4"/>
        </w:numPr>
        <w:spacing w:before="0"/>
        <w:ind w:left="720"/>
      </w:pPr>
      <w:r>
        <w:t>The Commission’s complaint records, which date back to 2017, show 12 complaints against CSWR-Texas.</w:t>
      </w:r>
    </w:p>
    <w:p w14:paraId="4FFD4656" w14:textId="77777777" w:rsidR="00E34FF4" w:rsidRDefault="0071422C" w:rsidP="00217478">
      <w:pPr>
        <w:pStyle w:val="FOFNumbered"/>
        <w:numPr>
          <w:ilvl w:val="0"/>
          <w:numId w:val="4"/>
        </w:numPr>
        <w:spacing w:before="0"/>
        <w:ind w:left="720"/>
      </w:pPr>
      <w:r>
        <w:rPr>
          <w:color w:val="000000"/>
        </w:rPr>
        <w:t>CSWR-Texas employs or contracts with TCEQ-licensed operators who will operate the public water system</w:t>
      </w:r>
      <w:r>
        <w:t xml:space="preserve">. </w:t>
      </w:r>
    </w:p>
    <w:p w14:paraId="4FFD4657" w14:textId="77777777" w:rsidR="00E34FF4" w:rsidRDefault="0071422C" w:rsidP="00217478">
      <w:pPr>
        <w:pStyle w:val="FOFNumbered"/>
        <w:numPr>
          <w:ilvl w:val="0"/>
          <w:numId w:val="4"/>
        </w:numPr>
        <w:spacing w:before="0"/>
        <w:ind w:left="720"/>
      </w:pPr>
      <w:r>
        <w:rPr>
          <w:color w:val="000000"/>
        </w:rPr>
        <w:lastRenderedPageBreak/>
        <w:t xml:space="preserve">No </w:t>
      </w:r>
      <w:r w:rsidRPr="00217478">
        <w:t>additional construction is necessary for CSWR-Texas to provide service to the requested areas</w:t>
      </w:r>
      <w:r>
        <w:t xml:space="preserve">. </w:t>
      </w:r>
    </w:p>
    <w:p w14:paraId="4FFD4658" w14:textId="7C4620E1" w:rsidR="00E34FF4" w:rsidRDefault="0071422C" w:rsidP="00217478">
      <w:pPr>
        <w:pStyle w:val="FOFNumbered"/>
        <w:numPr>
          <w:ilvl w:val="0"/>
          <w:numId w:val="4"/>
        </w:numPr>
        <w:spacing w:before="0"/>
        <w:ind w:left="720"/>
      </w:pPr>
      <w:r w:rsidRPr="00217478">
        <w:t xml:space="preserve">CSWR-Texas has access to an adequate supply of water and is capable of providing </w:t>
      </w:r>
      <w:r w:rsidR="008A68D0" w:rsidRPr="00217478">
        <w:t xml:space="preserve">drinking </w:t>
      </w:r>
      <w:r w:rsidRPr="00217478">
        <w:t xml:space="preserve">water that meets the requirements of chapter 341 of the Texas Health and Safety Code, chapter 13 of the </w:t>
      </w:r>
      <w:r w:rsidR="008A68D0" w:rsidRPr="00217478">
        <w:t>Texas Water Code (</w:t>
      </w:r>
      <w:r w:rsidRPr="00217478">
        <w:t>TWC</w:t>
      </w:r>
      <w:r w:rsidR="008A68D0" w:rsidRPr="00217478">
        <w:t>)</w:t>
      </w:r>
      <w:r w:rsidRPr="00217478">
        <w:t>, and the TCEQ’s rules.</w:t>
      </w:r>
    </w:p>
    <w:p w14:paraId="4FFD4659" w14:textId="77777777" w:rsidR="00E34FF4" w:rsidRDefault="0071422C" w:rsidP="00217478">
      <w:pPr>
        <w:pStyle w:val="FOFNumbered"/>
        <w:numPr>
          <w:ilvl w:val="0"/>
          <w:numId w:val="4"/>
        </w:numPr>
        <w:spacing w:before="0"/>
        <w:ind w:left="720"/>
      </w:pPr>
      <w:r w:rsidRPr="00217478">
        <w:t>CSWR-</w:t>
      </w:r>
      <w:r>
        <w:rPr>
          <w:color w:val="000000"/>
        </w:rPr>
        <w:t>Texas has the technical and managerial capability to provide adequate and continuous service to the requested areas.</w:t>
      </w:r>
    </w:p>
    <w:p w14:paraId="4FFD465A" w14:textId="5137BBE8" w:rsidR="00E34FF4" w:rsidRDefault="0071422C">
      <w:pPr>
        <w:pStyle w:val="Heading7"/>
        <w:jc w:val="both"/>
      </w:pPr>
      <w:r>
        <w:t xml:space="preserve">Ability to Serve: Financial Ability and Stability </w:t>
      </w:r>
    </w:p>
    <w:p w14:paraId="4FFD465B" w14:textId="77777777" w:rsidR="00E34FF4" w:rsidRPr="00217478" w:rsidRDefault="0071422C" w:rsidP="00217478">
      <w:pPr>
        <w:pStyle w:val="FOFNumbered"/>
        <w:numPr>
          <w:ilvl w:val="0"/>
          <w:numId w:val="4"/>
        </w:numPr>
        <w:ind w:left="720"/>
        <w:rPr>
          <w:color w:val="000000"/>
        </w:rPr>
      </w:pPr>
      <w:r w:rsidRPr="00217478">
        <w:rPr>
          <w:color w:val="000000"/>
        </w:rPr>
        <w:t xml:space="preserve">CSWR, LLC, the immediate parent company of CSWR-Texas, is capable, available, and willing to cover temporary cash shortages, and has a debt-to-equity ratio of less than one, satisfying the leverage test. </w:t>
      </w:r>
    </w:p>
    <w:p w14:paraId="4FFD465C" w14:textId="77777777" w:rsidR="00E34FF4" w:rsidRPr="00217478" w:rsidRDefault="0071422C" w:rsidP="00217478">
      <w:pPr>
        <w:pStyle w:val="FOFNumbered"/>
        <w:numPr>
          <w:ilvl w:val="0"/>
          <w:numId w:val="4"/>
        </w:numPr>
        <w:spacing w:before="0"/>
        <w:ind w:left="720"/>
        <w:rPr>
          <w:color w:val="000000"/>
        </w:rPr>
      </w:pPr>
      <w:r>
        <w:rPr>
          <w:color w:val="000000"/>
        </w:rPr>
        <w:t>CSWR, LLC provided a written guarantee of coverage of temporary cash shortages and demonstrated that it has sufficient cash available to cover any projected operations and maintenance shortages in the first five years of operations after completion of the transaction and possesses the cash and leverage ability to pay for capital improvements and necessary equity investments—satisfying the operations test</w:t>
      </w:r>
      <w:r w:rsidRPr="00217478">
        <w:rPr>
          <w:color w:val="000000"/>
        </w:rPr>
        <w:t>.</w:t>
      </w:r>
    </w:p>
    <w:p w14:paraId="4FFD465D" w14:textId="77777777" w:rsidR="00E34FF4" w:rsidRDefault="0071422C" w:rsidP="00217478">
      <w:pPr>
        <w:pStyle w:val="FOFNumbered"/>
        <w:numPr>
          <w:ilvl w:val="0"/>
          <w:numId w:val="4"/>
        </w:numPr>
        <w:spacing w:before="0"/>
        <w:ind w:left="720"/>
      </w:pPr>
      <w:r>
        <w:rPr>
          <w:color w:val="000000"/>
        </w:rPr>
        <w:t>CSWR-Texas demonstrated the financial capability and stability to provide continuous and adequate service to the requested areas.</w:t>
      </w:r>
    </w:p>
    <w:p w14:paraId="4FFD465E" w14:textId="77777777" w:rsidR="00E34FF4" w:rsidRDefault="0071422C">
      <w:pPr>
        <w:pStyle w:val="Heading7"/>
        <w:rPr>
          <w:rFonts w:eastAsia="Times New Roman"/>
          <w:snapToGrid w:val="0"/>
        </w:rPr>
      </w:pPr>
      <w:r>
        <w:rPr>
          <w:rFonts w:eastAsia="Times New Roman"/>
          <w:snapToGrid w:val="0"/>
        </w:rPr>
        <w:t>Financial Assurance</w:t>
      </w:r>
    </w:p>
    <w:p w14:paraId="4FFD465F" w14:textId="77777777" w:rsidR="00E34FF4" w:rsidRDefault="0071422C">
      <w:pPr>
        <w:pStyle w:val="FOFNumbered"/>
        <w:numPr>
          <w:ilvl w:val="0"/>
          <w:numId w:val="4"/>
        </w:numPr>
        <w:ind w:left="720"/>
      </w:pPr>
      <w:r w:rsidRPr="00217478">
        <w:rPr>
          <w:color w:val="000000"/>
        </w:rPr>
        <w:t>There</w:t>
      </w:r>
      <w:r>
        <w:t xml:space="preserve"> is no need to require CSWR-Texas to provide a bond or other financial assurance to ensure continuous and adequate service. </w:t>
      </w:r>
    </w:p>
    <w:p w14:paraId="4FFD4660" w14:textId="77777777" w:rsidR="00E34FF4" w:rsidRDefault="0071422C">
      <w:pPr>
        <w:pStyle w:val="FOFNumbered"/>
        <w:numPr>
          <w:ilvl w:val="0"/>
          <w:numId w:val="0"/>
        </w:numPr>
        <w:rPr>
          <w:b/>
          <w:i/>
          <w:u w:val="single"/>
        </w:rPr>
      </w:pPr>
      <w:r>
        <w:rPr>
          <w:b/>
          <w:i/>
          <w:u w:val="single"/>
        </w:rPr>
        <w:t>Voluntary Valuation of Acquired Utility or Facilities</w:t>
      </w:r>
    </w:p>
    <w:p w14:paraId="4FFD4661" w14:textId="77777777" w:rsidR="00E34FF4" w:rsidRDefault="0071422C" w:rsidP="00217478">
      <w:pPr>
        <w:pStyle w:val="FOFNumbered"/>
        <w:numPr>
          <w:ilvl w:val="0"/>
          <w:numId w:val="4"/>
        </w:numPr>
        <w:spacing w:before="0"/>
        <w:ind w:left="720"/>
      </w:pPr>
      <w:r>
        <w:t xml:space="preserve">Prior to filing the application, CSWR-Texas and North Orange filed a notice to the Commission in Project No. 49859 of their intent to use the Commission’s fair market value (FMV) process to determine the ratemaking rate base of North Orange’s water and sewer system assets to be acquired by CSWR-Texas. </w:t>
      </w:r>
    </w:p>
    <w:p w14:paraId="4FFD4662" w14:textId="2861540A" w:rsidR="00E34FF4" w:rsidRDefault="0071422C" w:rsidP="00217478">
      <w:pPr>
        <w:pStyle w:val="FOFNumbered"/>
        <w:numPr>
          <w:ilvl w:val="0"/>
          <w:numId w:val="4"/>
        </w:numPr>
        <w:spacing w:before="0"/>
        <w:ind w:left="720"/>
      </w:pPr>
      <w:r>
        <w:t>CSWR-Texas included copies of the three appraisal reports required by the FMV process with the application and evidence of the purchase price agreed upon between CSWR</w:t>
      </w:r>
      <w:r w:rsidR="008B5E9E">
        <w:t>-</w:t>
      </w:r>
      <w:r>
        <w:t xml:space="preserve">Texas and North Orange. </w:t>
      </w:r>
    </w:p>
    <w:p w14:paraId="4FFD4663" w14:textId="77777777" w:rsidR="00E34FF4" w:rsidRDefault="0071422C" w:rsidP="00217478">
      <w:pPr>
        <w:pStyle w:val="FOFNumbered"/>
        <w:numPr>
          <w:ilvl w:val="0"/>
          <w:numId w:val="4"/>
        </w:numPr>
        <w:spacing w:before="0"/>
        <w:ind w:left="720"/>
      </w:pPr>
      <w:r>
        <w:lastRenderedPageBreak/>
        <w:t xml:space="preserve">The agreed upon purchase price for the transaction is identified in confidential attachment JO-1 to Commission Staff’s Recommendation on the Transaction. </w:t>
      </w:r>
    </w:p>
    <w:p w14:paraId="4FFD4664" w14:textId="0AB75D29" w:rsidR="00E34FF4" w:rsidRDefault="0071422C" w:rsidP="00217478">
      <w:pPr>
        <w:pStyle w:val="FOFNumbered"/>
        <w:numPr>
          <w:ilvl w:val="0"/>
          <w:numId w:val="4"/>
        </w:numPr>
        <w:spacing w:before="0"/>
        <w:ind w:left="720"/>
      </w:pPr>
      <w:r>
        <w:t>The average of the three appraisals yield</w:t>
      </w:r>
      <w:r w:rsidR="001770CB">
        <w:t xml:space="preserve"> </w:t>
      </w:r>
      <w:r>
        <w:t xml:space="preserve">a purchase price of less than the FMV of North Orange’s water and sewer systems; therefore, the ratemaking rate base for North Orange’s water and sewer systems is the agreed upon purchase price for the transaction identified in the confidential attachment JO-1 to Commission Staff’s Recommendation on the Transaction. </w:t>
      </w:r>
    </w:p>
    <w:p w14:paraId="4FFD4665" w14:textId="77777777" w:rsidR="00E34FF4" w:rsidRDefault="0071422C" w:rsidP="00217478">
      <w:pPr>
        <w:pStyle w:val="FOFNumbered"/>
        <w:numPr>
          <w:ilvl w:val="0"/>
          <w:numId w:val="4"/>
        </w:numPr>
        <w:spacing w:before="0"/>
        <w:ind w:left="720"/>
      </w:pPr>
      <w:r>
        <w:t xml:space="preserve">The application included CSWR-Texas’s known and estimated transaction and closing costs. </w:t>
      </w:r>
    </w:p>
    <w:p w14:paraId="4FFD4666" w14:textId="77777777" w:rsidR="00E34FF4" w:rsidRDefault="0071422C" w:rsidP="00217478">
      <w:pPr>
        <w:pStyle w:val="FOFNumbered"/>
        <w:numPr>
          <w:ilvl w:val="0"/>
          <w:numId w:val="4"/>
        </w:numPr>
        <w:spacing w:before="0"/>
        <w:ind w:left="720"/>
      </w:pPr>
      <w:r>
        <w:t xml:space="preserve">No additional conditions for the acquisition based on the FMV process are needed. </w:t>
      </w:r>
    </w:p>
    <w:p w14:paraId="4FFD4667" w14:textId="77777777" w:rsidR="00E34FF4" w:rsidRDefault="0071422C">
      <w:pPr>
        <w:pStyle w:val="Heading7"/>
        <w:jc w:val="both"/>
        <w:rPr>
          <w:rFonts w:eastAsia="Times New Roman"/>
          <w:snapToGrid w:val="0"/>
        </w:rPr>
      </w:pPr>
      <w:r>
        <w:rPr>
          <w:rFonts w:eastAsia="Times New Roman"/>
          <w:snapToGrid w:val="0"/>
        </w:rPr>
        <w:t xml:space="preserve">Feasibility of Obtaining Service from Adjacent Retail Public Utility </w:t>
      </w:r>
    </w:p>
    <w:p w14:paraId="788D5DCD" w14:textId="5E16BF10" w:rsidR="008A68D0" w:rsidRDefault="008A68D0">
      <w:pPr>
        <w:pStyle w:val="FOFNumbered"/>
        <w:numPr>
          <w:ilvl w:val="0"/>
          <w:numId w:val="4"/>
        </w:numPr>
        <w:ind w:left="720"/>
      </w:pPr>
      <w:r>
        <w:t>North Orange is currently serving customers and has sufficient capacity.</w:t>
      </w:r>
    </w:p>
    <w:p w14:paraId="29ACB3A9" w14:textId="49436FF9" w:rsidR="008A68D0" w:rsidRDefault="008A68D0" w:rsidP="00217478">
      <w:pPr>
        <w:pStyle w:val="FOFNumbered"/>
        <w:numPr>
          <w:ilvl w:val="0"/>
          <w:numId w:val="4"/>
        </w:numPr>
        <w:spacing w:before="0"/>
        <w:ind w:left="720"/>
      </w:pPr>
      <w:r>
        <w:t>Obtaining service from an adjacent retail public utility would likely increase costs to customers because new facilities would need to be constructed. At a minimum, an interconnect would need to be installed in order to connect to a neighboring retail public utility.</w:t>
      </w:r>
    </w:p>
    <w:p w14:paraId="3B2B7056" w14:textId="61CE2DAC" w:rsidR="008A68D0" w:rsidRDefault="008A68D0" w:rsidP="00217478">
      <w:pPr>
        <w:pStyle w:val="FOFNumbered"/>
        <w:numPr>
          <w:ilvl w:val="0"/>
          <w:numId w:val="4"/>
        </w:numPr>
        <w:spacing w:before="0"/>
        <w:ind w:left="720"/>
      </w:pPr>
      <w:r>
        <w:t>It is not feasible to obtain service from an adjacent retail public utility.</w:t>
      </w:r>
    </w:p>
    <w:p w14:paraId="4FFD4669" w14:textId="77777777" w:rsidR="00E34FF4" w:rsidRDefault="0071422C">
      <w:pPr>
        <w:pStyle w:val="Heading7"/>
        <w:jc w:val="both"/>
      </w:pPr>
      <w:r>
        <w:t>Environmental Integrity and Effect on the Land</w:t>
      </w:r>
    </w:p>
    <w:p w14:paraId="4FFD466A" w14:textId="77777777" w:rsidR="00E34FF4" w:rsidRDefault="0071422C">
      <w:pPr>
        <w:pStyle w:val="FOFNumbered"/>
        <w:numPr>
          <w:ilvl w:val="0"/>
          <w:numId w:val="4"/>
        </w:numPr>
        <w:ind w:left="720"/>
      </w:pPr>
      <w:r>
        <w:rPr>
          <w:color w:val="000000"/>
        </w:rPr>
        <w:t xml:space="preserve">The requested areas will continue to be served with existing infrastructure. </w:t>
      </w:r>
    </w:p>
    <w:p w14:paraId="4FFD466B" w14:textId="77777777" w:rsidR="00E34FF4" w:rsidRDefault="0071422C" w:rsidP="00217478">
      <w:pPr>
        <w:pStyle w:val="FOFNumbered"/>
        <w:numPr>
          <w:ilvl w:val="0"/>
          <w:numId w:val="4"/>
        </w:numPr>
        <w:spacing w:before="0"/>
        <w:ind w:left="720"/>
      </w:pPr>
      <w:r>
        <w:rPr>
          <w:color w:val="000000"/>
        </w:rPr>
        <w:t>There will be minimal effects on environmental integrity and on the land as a result of CSWR-Texas’s planned upgrades, renovations, and repairs to the public water system</w:t>
      </w:r>
      <w:r>
        <w:t xml:space="preserve">. </w:t>
      </w:r>
    </w:p>
    <w:p w14:paraId="4FFD466C" w14:textId="77777777" w:rsidR="00E34FF4" w:rsidRDefault="0071422C">
      <w:pPr>
        <w:pStyle w:val="Heading7"/>
        <w:jc w:val="both"/>
      </w:pPr>
      <w:r>
        <w:t xml:space="preserve">Improvement in Service or Lowering Cost to Consumer </w:t>
      </w:r>
    </w:p>
    <w:p w14:paraId="4FFD466D" w14:textId="732E0C3C" w:rsidR="00E34FF4" w:rsidRDefault="00B33E69">
      <w:pPr>
        <w:pStyle w:val="FOFNumbered"/>
        <w:numPr>
          <w:ilvl w:val="0"/>
          <w:numId w:val="4"/>
        </w:numPr>
        <w:ind w:left="720"/>
      </w:pPr>
      <w:r>
        <w:t>Water and wastewater service to the requested areas is expected to improve because CSWR-Texas intends to address and resolve regulatory compliance issues and improve the safety and reliability of service</w:t>
      </w:r>
      <w:r w:rsidR="0071422C">
        <w:t xml:space="preserve">. </w:t>
      </w:r>
    </w:p>
    <w:p w14:paraId="4FFD466E" w14:textId="5F810445" w:rsidR="00E34FF4" w:rsidRDefault="00B33E69" w:rsidP="00217478">
      <w:pPr>
        <w:pStyle w:val="FOFNumbered"/>
        <w:numPr>
          <w:ilvl w:val="0"/>
          <w:numId w:val="4"/>
        </w:numPr>
        <w:spacing w:before="0"/>
        <w:ind w:left="720"/>
      </w:pPr>
      <w:r>
        <w:rPr>
          <w:color w:val="000000"/>
        </w:rPr>
        <w:t xml:space="preserve">The rates charged to customers in the requested areas will not change as a result of the proposed transaction because CSWR-Texas will adopt the currently in effect tariff for the North </w:t>
      </w:r>
      <w:r w:rsidR="002452CD">
        <w:rPr>
          <w:color w:val="000000"/>
        </w:rPr>
        <w:t>Orange’s</w:t>
      </w:r>
      <w:r>
        <w:rPr>
          <w:color w:val="000000"/>
        </w:rPr>
        <w:t xml:space="preserve"> water system upon consummation of the transaction</w:t>
      </w:r>
      <w:r w:rsidR="0071422C">
        <w:rPr>
          <w:color w:val="000000"/>
        </w:rPr>
        <w:t>.</w:t>
      </w:r>
    </w:p>
    <w:p w14:paraId="4FFD466F" w14:textId="77777777" w:rsidR="00E34FF4" w:rsidRDefault="0071422C">
      <w:pPr>
        <w:pStyle w:val="Heading7"/>
        <w:jc w:val="both"/>
      </w:pPr>
      <w:r>
        <w:lastRenderedPageBreak/>
        <w:t>Regionalization or Consolidation</w:t>
      </w:r>
    </w:p>
    <w:p w14:paraId="4FFD4670" w14:textId="0306A1E3" w:rsidR="00E34FF4" w:rsidRDefault="00B33E69">
      <w:pPr>
        <w:pStyle w:val="FOFNumbered"/>
        <w:numPr>
          <w:ilvl w:val="0"/>
          <w:numId w:val="4"/>
        </w:numPr>
        <w:ind w:left="720"/>
      </w:pPr>
      <w:r>
        <w:t>The construction of a physically separate system is not necessary for CSWR-Texas to service the requested area. Therefore, concerns of regionalization or consolidation do not apply.</w:t>
      </w:r>
    </w:p>
    <w:p w14:paraId="4FFD4671" w14:textId="77777777" w:rsidR="00E34FF4" w:rsidRDefault="0071422C">
      <w:pPr>
        <w:widowControl w:val="0"/>
        <w:tabs>
          <w:tab w:val="left" w:pos="821"/>
        </w:tabs>
        <w:spacing w:after="120" w:line="360" w:lineRule="auto"/>
        <w:jc w:val="both"/>
        <w:rPr>
          <w:rFonts w:eastAsia="Times New Roman"/>
          <w:b/>
          <w:bCs/>
          <w:i/>
          <w:iCs/>
          <w:u w:val="single"/>
        </w:rPr>
      </w:pPr>
      <w:bookmarkStart w:id="5" w:name="_Hlk94609312"/>
      <w:r>
        <w:rPr>
          <w:rFonts w:eastAsia="Times New Roman"/>
          <w:b/>
          <w:bCs/>
          <w:i/>
          <w:iCs/>
          <w:u w:val="single"/>
        </w:rPr>
        <w:t>Tariffs, Maps, and Certificates</w:t>
      </w:r>
    </w:p>
    <w:p w14:paraId="4FFD4672" w14:textId="4E8751AC" w:rsidR="00E34FF4" w:rsidRDefault="0071422C" w:rsidP="00217478">
      <w:pPr>
        <w:widowControl w:val="0"/>
        <w:numPr>
          <w:ilvl w:val="0"/>
          <w:numId w:val="4"/>
        </w:numPr>
        <w:tabs>
          <w:tab w:val="left" w:pos="821"/>
        </w:tabs>
        <w:spacing w:line="360" w:lineRule="auto"/>
        <w:ind w:left="720"/>
        <w:jc w:val="both"/>
        <w:rPr>
          <w:rFonts w:eastAsia="Times New Roman"/>
        </w:rPr>
      </w:pPr>
      <w:r>
        <w:rPr>
          <w:rFonts w:eastAsia="Times New Roman"/>
        </w:rPr>
        <w:t>On December 19, 2022, Commission Staff emailed to the applicants the final proposed map</w:t>
      </w:r>
      <w:r w:rsidR="002452CD">
        <w:rPr>
          <w:rFonts w:eastAsia="Times New Roman"/>
        </w:rPr>
        <w:t>s</w:t>
      </w:r>
      <w:r>
        <w:rPr>
          <w:rFonts w:eastAsia="Times New Roman"/>
        </w:rPr>
        <w:t>, certificate</w:t>
      </w:r>
      <w:r w:rsidR="002452CD">
        <w:rPr>
          <w:rFonts w:eastAsia="Times New Roman"/>
        </w:rPr>
        <w:t>s</w:t>
      </w:r>
      <w:r>
        <w:rPr>
          <w:rFonts w:eastAsia="Times New Roman"/>
        </w:rPr>
        <w:t>, and tariff</w:t>
      </w:r>
      <w:r w:rsidR="002452CD">
        <w:rPr>
          <w:rFonts w:eastAsia="Times New Roman"/>
        </w:rPr>
        <w:t>s</w:t>
      </w:r>
      <w:r>
        <w:rPr>
          <w:rFonts w:eastAsia="Times New Roman"/>
        </w:rPr>
        <w:t xml:space="preserve"> related to this docket.</w:t>
      </w:r>
    </w:p>
    <w:p w14:paraId="4FFD4673" w14:textId="50067A0D" w:rsidR="00E34FF4" w:rsidRDefault="0071422C" w:rsidP="00217478">
      <w:pPr>
        <w:widowControl w:val="0"/>
        <w:numPr>
          <w:ilvl w:val="0"/>
          <w:numId w:val="4"/>
        </w:numPr>
        <w:tabs>
          <w:tab w:val="left" w:pos="821"/>
        </w:tabs>
        <w:spacing w:line="360" w:lineRule="auto"/>
        <w:ind w:left="720"/>
        <w:jc w:val="both"/>
        <w:rPr>
          <w:rFonts w:eastAsia="Times New Roman"/>
        </w:rPr>
      </w:pPr>
      <w:r>
        <w:rPr>
          <w:rFonts w:eastAsia="Times New Roman"/>
        </w:rPr>
        <w:t>On December 28, 2022, the applicants filed their consent forms concurring with the proposed final map</w:t>
      </w:r>
      <w:r w:rsidR="002452CD">
        <w:rPr>
          <w:rFonts w:eastAsia="Times New Roman"/>
        </w:rPr>
        <w:t>s</w:t>
      </w:r>
      <w:r>
        <w:rPr>
          <w:rFonts w:eastAsia="Times New Roman"/>
        </w:rPr>
        <w:t>, certificate</w:t>
      </w:r>
      <w:r w:rsidR="002452CD">
        <w:rPr>
          <w:rFonts w:eastAsia="Times New Roman"/>
        </w:rPr>
        <w:t>s</w:t>
      </w:r>
      <w:r>
        <w:rPr>
          <w:rFonts w:eastAsia="Times New Roman"/>
        </w:rPr>
        <w:t>, and tariff</w:t>
      </w:r>
      <w:r w:rsidR="002452CD">
        <w:rPr>
          <w:rFonts w:eastAsia="Times New Roman"/>
        </w:rPr>
        <w:t>s</w:t>
      </w:r>
      <w:r>
        <w:rPr>
          <w:rFonts w:eastAsia="Times New Roman"/>
        </w:rPr>
        <w:t>.</w:t>
      </w:r>
    </w:p>
    <w:p w14:paraId="4FFD4674" w14:textId="1E79436A" w:rsidR="00E34FF4" w:rsidRDefault="0071422C" w:rsidP="00217478">
      <w:pPr>
        <w:widowControl w:val="0"/>
        <w:numPr>
          <w:ilvl w:val="0"/>
          <w:numId w:val="4"/>
        </w:numPr>
        <w:tabs>
          <w:tab w:val="left" w:pos="821"/>
        </w:tabs>
        <w:spacing w:after="120" w:line="360" w:lineRule="auto"/>
        <w:ind w:left="720"/>
        <w:jc w:val="both"/>
        <w:rPr>
          <w:rFonts w:eastAsia="Times New Roman"/>
        </w:rPr>
      </w:pPr>
      <w:r>
        <w:rPr>
          <w:rFonts w:eastAsia="Times New Roman"/>
        </w:rPr>
        <w:t>The final map</w:t>
      </w:r>
      <w:r w:rsidR="002452CD">
        <w:rPr>
          <w:rFonts w:eastAsia="Times New Roman"/>
        </w:rPr>
        <w:t>s</w:t>
      </w:r>
      <w:r>
        <w:rPr>
          <w:rFonts w:eastAsia="Times New Roman"/>
        </w:rPr>
        <w:t>, certificate</w:t>
      </w:r>
      <w:r w:rsidR="002452CD">
        <w:rPr>
          <w:rFonts w:eastAsia="Times New Roman"/>
        </w:rPr>
        <w:t>s</w:t>
      </w:r>
      <w:r>
        <w:rPr>
          <w:rFonts w:eastAsia="Times New Roman"/>
        </w:rPr>
        <w:t>, and tariff</w:t>
      </w:r>
      <w:r w:rsidR="002452CD">
        <w:rPr>
          <w:rFonts w:eastAsia="Times New Roman"/>
        </w:rPr>
        <w:t>s</w:t>
      </w:r>
      <w:r>
        <w:rPr>
          <w:rFonts w:eastAsia="Times New Roman"/>
        </w:rPr>
        <w:t>, were included as attachments to the joint supplemental motion to admit evidence, filed on January __, 2023.</w:t>
      </w:r>
    </w:p>
    <w:p w14:paraId="4FFD4675" w14:textId="77777777" w:rsidR="00E34FF4" w:rsidRDefault="0071422C">
      <w:pPr>
        <w:widowControl w:val="0"/>
        <w:tabs>
          <w:tab w:val="left" w:pos="821"/>
        </w:tabs>
        <w:spacing w:after="120" w:line="360" w:lineRule="auto"/>
        <w:jc w:val="both"/>
        <w:rPr>
          <w:rFonts w:eastAsia="Times New Roman"/>
          <w:b/>
          <w:bCs/>
          <w:i/>
          <w:iCs/>
          <w:u w:val="single"/>
        </w:rPr>
      </w:pPr>
      <w:r>
        <w:rPr>
          <w:rFonts w:eastAsia="Times New Roman"/>
          <w:b/>
          <w:bCs/>
          <w:i/>
          <w:iCs/>
          <w:u w:val="single"/>
        </w:rPr>
        <w:t>Informal Disposition</w:t>
      </w:r>
    </w:p>
    <w:p w14:paraId="4FFD4676" w14:textId="77777777" w:rsidR="00E34FF4" w:rsidRDefault="0071422C" w:rsidP="00217478">
      <w:pPr>
        <w:widowControl w:val="0"/>
        <w:numPr>
          <w:ilvl w:val="0"/>
          <w:numId w:val="4"/>
        </w:numPr>
        <w:tabs>
          <w:tab w:val="left" w:pos="821"/>
        </w:tabs>
        <w:spacing w:line="360" w:lineRule="auto"/>
        <w:ind w:left="720"/>
        <w:jc w:val="both"/>
        <w:rPr>
          <w:rFonts w:eastAsia="Times New Roman"/>
        </w:rPr>
      </w:pPr>
      <w:r>
        <w:rPr>
          <w:rFonts w:eastAsia="Times New Roman"/>
        </w:rPr>
        <w:t>More than 15 days have passed since the completion of notice provided in this docket.</w:t>
      </w:r>
    </w:p>
    <w:p w14:paraId="4FFD4677" w14:textId="77777777" w:rsidR="00E34FF4" w:rsidRDefault="0071422C" w:rsidP="00217478">
      <w:pPr>
        <w:widowControl w:val="0"/>
        <w:numPr>
          <w:ilvl w:val="0"/>
          <w:numId w:val="4"/>
        </w:numPr>
        <w:tabs>
          <w:tab w:val="left" w:pos="821"/>
        </w:tabs>
        <w:spacing w:line="360" w:lineRule="auto"/>
        <w:ind w:left="720"/>
        <w:jc w:val="both"/>
        <w:rPr>
          <w:rFonts w:eastAsia="Times New Roman"/>
        </w:rPr>
      </w:pPr>
      <w:r>
        <w:rPr>
          <w:rFonts w:eastAsia="Times New Roman"/>
        </w:rPr>
        <w:t>No person filed a protest or motion to intervene.</w:t>
      </w:r>
    </w:p>
    <w:p w14:paraId="4FFD4678" w14:textId="77777777" w:rsidR="00E34FF4" w:rsidRDefault="0071422C" w:rsidP="00217478">
      <w:pPr>
        <w:widowControl w:val="0"/>
        <w:numPr>
          <w:ilvl w:val="0"/>
          <w:numId w:val="4"/>
        </w:numPr>
        <w:tabs>
          <w:tab w:val="left" w:pos="821"/>
        </w:tabs>
        <w:spacing w:line="360" w:lineRule="auto"/>
        <w:ind w:left="720"/>
        <w:jc w:val="both"/>
        <w:rPr>
          <w:rFonts w:eastAsia="Times New Roman"/>
        </w:rPr>
      </w:pPr>
      <w:r>
        <w:rPr>
          <w:rFonts w:eastAsia="Times New Roman"/>
        </w:rPr>
        <w:t>North Orange, CSWR-Texas, and Staff are the only parties to this proceeding.</w:t>
      </w:r>
    </w:p>
    <w:p w14:paraId="4FFD4679" w14:textId="77777777" w:rsidR="00E34FF4" w:rsidRDefault="0071422C" w:rsidP="00217478">
      <w:pPr>
        <w:widowControl w:val="0"/>
        <w:numPr>
          <w:ilvl w:val="0"/>
          <w:numId w:val="4"/>
        </w:numPr>
        <w:tabs>
          <w:tab w:val="left" w:pos="821"/>
        </w:tabs>
        <w:spacing w:line="360" w:lineRule="auto"/>
        <w:ind w:left="720"/>
        <w:jc w:val="both"/>
        <w:rPr>
          <w:rFonts w:eastAsia="Times New Roman"/>
        </w:rPr>
      </w:pPr>
      <w:r>
        <w:rPr>
          <w:rFonts w:eastAsia="Times New Roman"/>
        </w:rPr>
        <w:t>No party requested a hearing, and no hearing is needed.</w:t>
      </w:r>
    </w:p>
    <w:p w14:paraId="4FFD467A" w14:textId="77777777" w:rsidR="00E34FF4" w:rsidRDefault="0071422C" w:rsidP="00217478">
      <w:pPr>
        <w:widowControl w:val="0"/>
        <w:numPr>
          <w:ilvl w:val="0"/>
          <w:numId w:val="4"/>
        </w:numPr>
        <w:tabs>
          <w:tab w:val="left" w:pos="821"/>
        </w:tabs>
        <w:spacing w:line="360" w:lineRule="auto"/>
        <w:ind w:left="720"/>
        <w:jc w:val="both"/>
        <w:rPr>
          <w:rFonts w:eastAsia="Times New Roman"/>
        </w:rPr>
      </w:pPr>
      <w:r>
        <w:rPr>
          <w:rFonts w:eastAsia="Times New Roman"/>
        </w:rPr>
        <w:t>Staff recommended approval of the application.</w:t>
      </w:r>
    </w:p>
    <w:p w14:paraId="4FFD467B" w14:textId="77777777" w:rsidR="00E34FF4" w:rsidRDefault="0071422C" w:rsidP="00217478">
      <w:pPr>
        <w:widowControl w:val="0"/>
        <w:numPr>
          <w:ilvl w:val="0"/>
          <w:numId w:val="4"/>
        </w:numPr>
        <w:tabs>
          <w:tab w:val="left" w:pos="821"/>
        </w:tabs>
        <w:spacing w:after="120" w:line="360" w:lineRule="auto"/>
        <w:ind w:left="720"/>
        <w:jc w:val="both"/>
        <w:rPr>
          <w:rFonts w:eastAsia="Times New Roman"/>
        </w:rPr>
      </w:pPr>
      <w:r>
        <w:rPr>
          <w:rFonts w:eastAsia="Times New Roman"/>
        </w:rPr>
        <w:t>The decision is not adverse to any party.</w:t>
      </w:r>
      <w:bookmarkEnd w:id="5"/>
    </w:p>
    <w:p w14:paraId="4FFD467C" w14:textId="77777777" w:rsidR="00E34FF4" w:rsidRDefault="0071422C" w:rsidP="0097134F">
      <w:pPr>
        <w:pStyle w:val="OrderingParagraph"/>
      </w:pPr>
      <w:bookmarkStart w:id="6" w:name="_Hlk33616962"/>
      <w:r>
        <w:t>Conclusions of Law</w:t>
      </w:r>
    </w:p>
    <w:p w14:paraId="4FFD467D" w14:textId="77777777" w:rsidR="00E34FF4" w:rsidRDefault="0071422C">
      <w:pPr>
        <w:pStyle w:val="BodyText"/>
        <w:ind w:left="720" w:right="130"/>
        <w:rPr>
          <w:snapToGrid w:val="0"/>
          <w:lang w:eastAsia="zh-TW"/>
        </w:rPr>
      </w:pPr>
      <w:r>
        <w:rPr>
          <w:snapToGrid w:val="0"/>
          <w:lang w:eastAsia="zh-TW"/>
        </w:rPr>
        <w:t>The Commission makes the following conclusions of law:</w:t>
      </w:r>
    </w:p>
    <w:p w14:paraId="4FFD467E" w14:textId="77777777" w:rsidR="00E34FF4" w:rsidRDefault="0071422C" w:rsidP="00217478">
      <w:pPr>
        <w:pStyle w:val="FOFNumbered"/>
        <w:tabs>
          <w:tab w:val="clear" w:pos="1170"/>
        </w:tabs>
        <w:spacing w:before="0"/>
        <w:ind w:left="720"/>
      </w:pPr>
      <w:r>
        <w:t xml:space="preserve">The Commission has authority over this proceeding under TWC §§ </w:t>
      </w:r>
      <w:bookmarkStart w:id="7" w:name="_Hlk87357811"/>
      <w:r>
        <w:t xml:space="preserve">13.041, 13.241, 13.244, </w:t>
      </w:r>
      <w:bookmarkEnd w:id="7"/>
      <w:r>
        <w:t>13.246, 13.251, and 13.301.</w:t>
      </w:r>
    </w:p>
    <w:p w14:paraId="4FFD467F" w14:textId="77777777" w:rsidR="00E34FF4" w:rsidRDefault="0071422C" w:rsidP="00217478">
      <w:pPr>
        <w:pStyle w:val="FOFNumbered"/>
        <w:tabs>
          <w:tab w:val="clear" w:pos="1170"/>
        </w:tabs>
        <w:spacing w:before="0"/>
        <w:ind w:left="720"/>
      </w:pPr>
      <w:r>
        <w:t>North Orange and CSWR-Texas are retail public utilities as defined by TWC § 13.002(19) and 16 TAC § 24.3(31).</w:t>
      </w:r>
    </w:p>
    <w:p w14:paraId="4FFD4680" w14:textId="77777777" w:rsidR="00E34FF4" w:rsidRDefault="0071422C" w:rsidP="00217478">
      <w:pPr>
        <w:pStyle w:val="FOFNumbered"/>
        <w:tabs>
          <w:tab w:val="clear" w:pos="1170"/>
        </w:tabs>
        <w:spacing w:before="0"/>
        <w:ind w:left="720"/>
      </w:pPr>
      <w:r>
        <w:t>The Commission processed the application as required by the TWC, the Administrative Procedure Act,</w:t>
      </w:r>
      <w:r>
        <w:rPr>
          <w:rStyle w:val="FootnoteReference"/>
          <w:rFonts w:eastAsiaTheme="majorEastAsia"/>
          <w:spacing w:val="-1"/>
        </w:rPr>
        <w:footnoteReference w:id="40"/>
      </w:r>
      <w:r>
        <w:t xml:space="preserve"> and Commission Rules.</w:t>
      </w:r>
    </w:p>
    <w:p w14:paraId="4FFD4681" w14:textId="5A042695" w:rsidR="00E34FF4" w:rsidRDefault="0071422C" w:rsidP="00217478">
      <w:pPr>
        <w:pStyle w:val="FOFNumbered"/>
        <w:tabs>
          <w:tab w:val="clear" w:pos="1170"/>
        </w:tabs>
        <w:spacing w:before="0"/>
        <w:ind w:left="720"/>
      </w:pPr>
      <w:r>
        <w:t>The application meets the requirements of TWC § 13.244</w:t>
      </w:r>
      <w:r w:rsidR="00B33E69">
        <w:t xml:space="preserve"> and 16 TAC § 24.233</w:t>
      </w:r>
      <w:r>
        <w:t>.</w:t>
      </w:r>
    </w:p>
    <w:p w14:paraId="4FFD4682" w14:textId="19066DDD" w:rsidR="00E34FF4" w:rsidRDefault="0071422C" w:rsidP="00217478">
      <w:pPr>
        <w:pStyle w:val="FOFNumbered"/>
        <w:tabs>
          <w:tab w:val="clear" w:pos="1170"/>
        </w:tabs>
        <w:spacing w:before="0"/>
        <w:ind w:left="720"/>
      </w:pPr>
      <w:r>
        <w:lastRenderedPageBreak/>
        <w:t>CSWR-Texas and North Orange, the applicants, provided notice of the application that complies with TWC §§ 13.246 and 13.301(a)(2) and 16 TAC § 24.</w:t>
      </w:r>
      <w:r w:rsidR="00B33E69">
        <w:t>235 and 24.</w:t>
      </w:r>
      <w:r>
        <w:t>239.</w:t>
      </w:r>
    </w:p>
    <w:p w14:paraId="4FFD4683" w14:textId="62780FCF" w:rsidR="00E34FF4" w:rsidRDefault="0071422C" w:rsidP="00217478">
      <w:pPr>
        <w:pStyle w:val="FOFNumbered"/>
        <w:tabs>
          <w:tab w:val="clear" w:pos="1170"/>
        </w:tabs>
        <w:spacing w:before="0"/>
        <w:ind w:left="720"/>
      </w:pPr>
      <w:r>
        <w:t>North Orange and CSWR-Texas have complied with the requirements of 16 TAC § 24.239(k)</w:t>
      </w:r>
      <w:r w:rsidR="00B33E69">
        <w:t xml:space="preserve"> and (</w:t>
      </w:r>
      <w:r w:rsidR="00B33E69">
        <w:rPr>
          <w:i/>
          <w:iCs/>
        </w:rPr>
        <w:t>l)</w:t>
      </w:r>
      <w:r>
        <w:t xml:space="preserve"> with respect to customer deposits.</w:t>
      </w:r>
    </w:p>
    <w:p w14:paraId="4FFD4684" w14:textId="77777777" w:rsidR="00E34FF4" w:rsidRDefault="0071422C" w:rsidP="00217478">
      <w:pPr>
        <w:pStyle w:val="FOFNumbered"/>
        <w:tabs>
          <w:tab w:val="clear" w:pos="1170"/>
        </w:tabs>
        <w:spacing w:before="0"/>
        <w:ind w:left="720"/>
      </w:pPr>
      <w:r>
        <w:t>North Orange and CSWR-Texas completed the sale within the time frame required by 16 TAC § 24.239(m).</w:t>
      </w:r>
    </w:p>
    <w:p w14:paraId="4FFD4685" w14:textId="77777777" w:rsidR="00E34FF4" w:rsidRDefault="0071422C" w:rsidP="00217478">
      <w:pPr>
        <w:pStyle w:val="FOFNumbered"/>
        <w:tabs>
          <w:tab w:val="clear" w:pos="1170"/>
        </w:tabs>
        <w:spacing w:before="0"/>
        <w:ind w:left="720"/>
      </w:pPr>
      <w:bookmarkStart w:id="8" w:name="_Hlk115092468"/>
      <w:r>
        <w:t>After consideration of the factors in TWC § 13.246(c), CSWR-Texas demonstrated that it is capable of rendering continuous service to every customer in the requested area, as required by TWC § 13.251.</w:t>
      </w:r>
    </w:p>
    <w:p w14:paraId="4FFD4686" w14:textId="6ADDB5A5" w:rsidR="00E34FF4" w:rsidRDefault="0071422C" w:rsidP="00217478">
      <w:pPr>
        <w:pStyle w:val="FOFNumbered"/>
        <w:tabs>
          <w:tab w:val="clear" w:pos="1170"/>
        </w:tabs>
        <w:spacing w:before="0"/>
        <w:ind w:left="720"/>
      </w:pPr>
      <w:bookmarkStart w:id="9" w:name="_Hlk115091667"/>
      <w:bookmarkEnd w:id="8"/>
      <w:r>
        <w:t>CSWR-Texas demonstrated adequate financial, managerial, and technical capability for providing adequate and continuous service to the requested area as required by TWC §§</w:t>
      </w:r>
      <w:r w:rsidR="001770CB">
        <w:t xml:space="preserve"> </w:t>
      </w:r>
      <w:r>
        <w:t>13.241(a) and 13.301(b).</w:t>
      </w:r>
    </w:p>
    <w:bookmarkEnd w:id="9"/>
    <w:p w14:paraId="4FFD4687" w14:textId="77777777" w:rsidR="00E34FF4" w:rsidRDefault="0071422C" w:rsidP="00217478">
      <w:pPr>
        <w:pStyle w:val="FOFNumbered"/>
        <w:tabs>
          <w:tab w:val="clear" w:pos="1170"/>
        </w:tabs>
        <w:spacing w:before="0"/>
        <w:ind w:left="720"/>
      </w:pPr>
      <w:r>
        <w:t>It is not necessary for CSWR-Texas to provide bond or other financial assurance under TWC §§ 13.246(d) and 13.301(c).</w:t>
      </w:r>
    </w:p>
    <w:p w14:paraId="4FFD4689" w14:textId="0D9ABFFA" w:rsidR="00E34FF4" w:rsidRDefault="0071422C" w:rsidP="00217478">
      <w:pPr>
        <w:pStyle w:val="FOFNumbered"/>
        <w:tabs>
          <w:tab w:val="clear" w:pos="1170"/>
        </w:tabs>
        <w:spacing w:before="0"/>
        <w:ind w:left="720"/>
      </w:pPr>
      <w:r>
        <w:t xml:space="preserve">CSWR-Texas and North Orange demonstrated that the sale of </w:t>
      </w:r>
      <w:r>
        <w:rPr>
          <w:lang w:eastAsia="zh-TW"/>
        </w:rPr>
        <w:t>North Orange</w:t>
      </w:r>
      <w:r>
        <w:t xml:space="preserve">’s water and sewer facilities and the transfer of the water and sewer service areas held under water CCN </w:t>
      </w:r>
      <w:r w:rsidR="00092ABC">
        <w:t>Nos</w:t>
      </w:r>
      <w:r w:rsidR="006F026E">
        <w:t>.</w:t>
      </w:r>
      <w:r w:rsidR="00092ABC">
        <w:t xml:space="preserve"> </w:t>
      </w:r>
      <w:r>
        <w:t xml:space="preserve"> 11511 and 11642 and sewer CCN </w:t>
      </w:r>
      <w:r w:rsidR="007A25CF">
        <w:t>Nos</w:t>
      </w:r>
      <w:r w:rsidR="008D6DBA">
        <w:t>.</w:t>
      </w:r>
      <w:r>
        <w:t xml:space="preserve"> 30564 and 20548 from North Orange to CSWR-Texas under water and sewer CCN </w:t>
      </w:r>
      <w:r w:rsidR="007A25CF">
        <w:t>Nos</w:t>
      </w:r>
      <w:r w:rsidR="008D6DBA">
        <w:t>.</w:t>
      </w:r>
      <w:r w:rsidR="007A25CF">
        <w:t xml:space="preserve"> </w:t>
      </w:r>
      <w:r>
        <w:t xml:space="preserve"> 13290 and 21120 will serve the public interest and is necessary for the service, accommodation, convenience, and safety of the public under TWC § 13.301(d)</w:t>
      </w:r>
      <w:r w:rsidR="001770CB">
        <w:t>,</w:t>
      </w:r>
      <w:r>
        <w:t>(e</w:t>
      </w:r>
      <w:r w:rsidR="001770CB">
        <w:t xml:space="preserve">). </w:t>
      </w:r>
      <w:r>
        <w:t xml:space="preserve">The Commission’s executive director selected three utility valuation experts to perform appraisal of North Orange in compliance with TWC § 13.305(c)(2) and 16 TAC § 24.238(e). </w:t>
      </w:r>
    </w:p>
    <w:p w14:paraId="4FFD468A" w14:textId="1900676D" w:rsidR="00E34FF4" w:rsidRDefault="0071422C" w:rsidP="00217478">
      <w:pPr>
        <w:pStyle w:val="FOFNumbered"/>
        <w:tabs>
          <w:tab w:val="clear" w:pos="1170"/>
        </w:tabs>
        <w:spacing w:before="0"/>
        <w:ind w:left="720"/>
      </w:pPr>
      <w:r>
        <w:t>The application included copies of the three appraisal reports completed by the utility valuation experts as required by TWC § 13.305(h) and 16 TAC § 24.239(d)(1)(A)</w:t>
      </w:r>
      <w:r w:rsidR="007702F1">
        <w:t>.</w:t>
      </w:r>
      <w:r>
        <w:t xml:space="preserve"> </w:t>
      </w:r>
    </w:p>
    <w:p w14:paraId="4FFD468B" w14:textId="77777777" w:rsidR="00E34FF4" w:rsidRDefault="0071422C" w:rsidP="00217478">
      <w:pPr>
        <w:pStyle w:val="FOFNumbered"/>
        <w:tabs>
          <w:tab w:val="clear" w:pos="1170"/>
        </w:tabs>
        <w:spacing w:before="0"/>
        <w:ind w:left="720"/>
      </w:pPr>
      <w:r>
        <w:t xml:space="preserve">The application included the purchase price agreed to by CSWR-Texas and North Orange as required by TWC § 13.305(h)(2) and 16 TAC § 24.239(d)(1)(B). </w:t>
      </w:r>
    </w:p>
    <w:p w14:paraId="4FFD468C" w14:textId="77777777" w:rsidR="00E34FF4" w:rsidRDefault="0071422C" w:rsidP="00217478">
      <w:pPr>
        <w:pStyle w:val="FOFNumbered"/>
        <w:tabs>
          <w:tab w:val="clear" w:pos="1170"/>
        </w:tabs>
        <w:spacing w:before="0"/>
        <w:ind w:left="720"/>
      </w:pPr>
      <w:r>
        <w:t xml:space="preserve">The calculation of the fair market valuation for North Orange complies with TWC § 13.305(f) and 16 TAC § 24.238(f)-(j). </w:t>
      </w:r>
    </w:p>
    <w:p w14:paraId="4FFD468D" w14:textId="42C54D2F" w:rsidR="00E34FF4" w:rsidRDefault="0071422C" w:rsidP="00217478">
      <w:pPr>
        <w:pStyle w:val="FOFNumbered"/>
        <w:tabs>
          <w:tab w:val="clear" w:pos="1170"/>
        </w:tabs>
        <w:spacing w:before="0"/>
        <w:ind w:left="720"/>
      </w:pPr>
      <w:r>
        <w:t>The calculation of the ratemaking rate base for North Orange complies with TWC § 13.305(g) and 16 TAC § 24.238(b)(3) and (4).</w:t>
      </w:r>
    </w:p>
    <w:p w14:paraId="262EE961" w14:textId="36C0A0C0" w:rsidR="00B33E69" w:rsidRDefault="00B33E69" w:rsidP="00217478">
      <w:pPr>
        <w:pStyle w:val="FOFNumbered"/>
        <w:tabs>
          <w:tab w:val="clear" w:pos="1170"/>
        </w:tabs>
        <w:spacing w:before="0"/>
        <w:ind w:left="720"/>
      </w:pPr>
      <w:r>
        <w:lastRenderedPageBreak/>
        <w:t>The requirements for informal disposition under 16 TAC § 22.35 have been met in this proceeding.</w:t>
      </w:r>
    </w:p>
    <w:p w14:paraId="4FFD468E" w14:textId="77777777" w:rsidR="00E34FF4" w:rsidRDefault="0071422C" w:rsidP="00217478">
      <w:pPr>
        <w:pStyle w:val="OrderingParagraph"/>
        <w:spacing w:before="120" w:after="120"/>
        <w:ind w:left="864"/>
      </w:pPr>
      <w:r>
        <w:t>Ordering Paragraphs</w:t>
      </w:r>
    </w:p>
    <w:p w14:paraId="4FFD468F" w14:textId="77777777" w:rsidR="00E34FF4" w:rsidRDefault="0071422C">
      <w:pPr>
        <w:pStyle w:val="BodyText"/>
      </w:pPr>
      <w:r>
        <w:t>In accordance with the preceding findings of fact and conclusions of law, the Commission enters the following orders.</w:t>
      </w:r>
    </w:p>
    <w:p w14:paraId="4FFD4690" w14:textId="142B0A2C" w:rsidR="00E34FF4" w:rsidRDefault="0071422C" w:rsidP="00217478">
      <w:pPr>
        <w:pStyle w:val="FoFs"/>
        <w:spacing w:after="0"/>
        <w:ind w:left="504" w:right="0"/>
      </w:pPr>
      <w:bookmarkStart w:id="10" w:name="_Hlk94609390"/>
      <w:r>
        <w:t xml:space="preserve">The Commission approves the sale and transfer of all facilities held under North Orange’s water CCN </w:t>
      </w:r>
      <w:r w:rsidR="007A25CF">
        <w:t xml:space="preserve">Nos. </w:t>
      </w:r>
      <w:r>
        <w:t xml:space="preserve"> 11511 and 11642 and sewer CCN </w:t>
      </w:r>
      <w:r w:rsidR="007A25CF">
        <w:t>Nos.</w:t>
      </w:r>
      <w:r w:rsidR="0060237C">
        <w:t xml:space="preserve"> </w:t>
      </w:r>
      <w:r>
        <w:t>20564 and 20548 to CSWR-Texas, as shown on the attached map</w:t>
      </w:r>
      <w:r w:rsidR="002452CD">
        <w:t>s</w:t>
      </w:r>
      <w:r>
        <w:t xml:space="preserve">. </w:t>
      </w:r>
    </w:p>
    <w:p w14:paraId="4FFD4691" w14:textId="5231E73E" w:rsidR="00E34FF4" w:rsidRDefault="0071422C" w:rsidP="00217478">
      <w:pPr>
        <w:pStyle w:val="FoFs"/>
        <w:spacing w:after="0"/>
        <w:ind w:left="504" w:right="0"/>
      </w:pPr>
      <w:r>
        <w:t xml:space="preserve">The Commission cancels North Orange’s water CCN </w:t>
      </w:r>
      <w:r w:rsidR="007A25CF">
        <w:t xml:space="preserve">Nos. </w:t>
      </w:r>
      <w:r>
        <w:t xml:space="preserve">11511 and 11642 and sewer CCN </w:t>
      </w:r>
      <w:r w:rsidR="007A25CF">
        <w:t>Nos.</w:t>
      </w:r>
      <w:r>
        <w:t xml:space="preserve"> 20564 and 20548. </w:t>
      </w:r>
    </w:p>
    <w:p w14:paraId="4FFD4692" w14:textId="2A390562" w:rsidR="00E34FF4" w:rsidRDefault="0071422C" w:rsidP="00217478">
      <w:pPr>
        <w:pStyle w:val="FoFs"/>
        <w:spacing w:after="0"/>
        <w:ind w:left="504" w:right="0"/>
      </w:pPr>
      <w:r>
        <w:t>The Commission amends CSWR-Texas'</w:t>
      </w:r>
      <w:r w:rsidR="0060237C">
        <w:t>s</w:t>
      </w:r>
      <w:r>
        <w:t xml:space="preserve"> water CCN </w:t>
      </w:r>
      <w:r w:rsidR="00D0046E">
        <w:t>No.</w:t>
      </w:r>
      <w:r>
        <w:t xml:space="preserve"> 13290 and sewer CCN </w:t>
      </w:r>
      <w:r w:rsidR="00D0046E">
        <w:t xml:space="preserve">No. </w:t>
      </w:r>
      <w:r>
        <w:t xml:space="preserve"> 21120 to include the area previously included in North Orange’s water CCN </w:t>
      </w:r>
      <w:r w:rsidR="00D0046E">
        <w:t xml:space="preserve">Nos. </w:t>
      </w:r>
      <w:r>
        <w:t xml:space="preserve">11511 and 11642 and sewer CCN </w:t>
      </w:r>
      <w:r w:rsidR="00D0046E">
        <w:t xml:space="preserve">Nos. </w:t>
      </w:r>
      <w:r>
        <w:t>20564 and 20548, as shown on the attached map</w:t>
      </w:r>
      <w:r w:rsidR="002452CD">
        <w:t>s</w:t>
      </w:r>
      <w:r>
        <w:t>.</w:t>
      </w:r>
    </w:p>
    <w:p w14:paraId="4FFD4693" w14:textId="5AAFE8FA" w:rsidR="00E34FF4" w:rsidRDefault="0071422C" w:rsidP="00217478">
      <w:pPr>
        <w:pStyle w:val="FoFs"/>
        <w:spacing w:after="0"/>
        <w:ind w:left="504" w:right="0"/>
      </w:pPr>
      <w:r>
        <w:t>The Commission approves the map</w:t>
      </w:r>
      <w:r w:rsidR="002452CD">
        <w:t>s</w:t>
      </w:r>
      <w:r>
        <w:t xml:space="preserve"> and tariff</w:t>
      </w:r>
      <w:r w:rsidR="002452CD">
        <w:t>s</w:t>
      </w:r>
      <w:r>
        <w:t xml:space="preserve"> attached to the Notice of Approval.</w:t>
      </w:r>
    </w:p>
    <w:p w14:paraId="4FFD4694" w14:textId="10B6DBDD" w:rsidR="00E34FF4" w:rsidRDefault="0071422C" w:rsidP="00217478">
      <w:pPr>
        <w:pStyle w:val="FoFs"/>
        <w:spacing w:after="0"/>
        <w:ind w:left="504" w:right="0"/>
      </w:pPr>
      <w:r>
        <w:t>The Commission issues the certificate attached to this Notice of Approval.</w:t>
      </w:r>
    </w:p>
    <w:p w14:paraId="521D6ED9" w14:textId="707C1D54" w:rsidR="00632C14" w:rsidRDefault="00632C14" w:rsidP="00217478">
      <w:pPr>
        <w:pStyle w:val="FoFs"/>
        <w:spacing w:after="0"/>
        <w:ind w:left="504" w:right="0"/>
      </w:pPr>
      <w:r>
        <w:t xml:space="preserve">The ratemaking rate base for what were North Orange’s water and </w:t>
      </w:r>
      <w:r w:rsidR="0097134F">
        <w:t>s</w:t>
      </w:r>
      <w:r>
        <w:t>ewer systems is determined to be the agreed upon purchase price for the transaction as identified in highly sensitive attachment JO-1 to Commission Staff’s recommendation.</w:t>
      </w:r>
    </w:p>
    <w:p w14:paraId="4FFD4695" w14:textId="568ADC78" w:rsidR="00E34FF4" w:rsidRDefault="0071422C" w:rsidP="00217478">
      <w:pPr>
        <w:pStyle w:val="FoFs"/>
        <w:spacing w:after="0"/>
        <w:ind w:left="504" w:right="0"/>
      </w:pPr>
      <w:r>
        <w:t xml:space="preserve">CSWR-Texas must provide service to every customer or applicant for service within the approved area under water CCN </w:t>
      </w:r>
      <w:r w:rsidR="003667FA">
        <w:t xml:space="preserve">Nos. </w:t>
      </w:r>
      <w:r>
        <w:t xml:space="preserve"> 11511 and 11642 and sewer CCN </w:t>
      </w:r>
      <w:r w:rsidR="003667FA">
        <w:t xml:space="preserve">Nos. </w:t>
      </w:r>
      <w:r>
        <w:t xml:space="preserve"> 20564 and 20548 that requests service and meets the terms of CSWR-Texas’s water service, and such service must be continuous and adequate.</w:t>
      </w:r>
    </w:p>
    <w:p w14:paraId="4FFD4696" w14:textId="77777777" w:rsidR="00E34FF4" w:rsidRDefault="0071422C" w:rsidP="00217478">
      <w:pPr>
        <w:pStyle w:val="FoFs"/>
        <w:spacing w:after="0"/>
        <w:ind w:left="504" w:right="0"/>
      </w:pPr>
      <w:r>
        <w:t>CSWR-Texas meets the requirements of TWC § 13.241(b) to provide water and sewer utility service.</w:t>
      </w:r>
    </w:p>
    <w:p w14:paraId="4FFD4697" w14:textId="77777777" w:rsidR="00E34FF4" w:rsidRDefault="0071422C" w:rsidP="00217478">
      <w:pPr>
        <w:pStyle w:val="FoFs"/>
        <w:spacing w:after="0"/>
        <w:ind w:left="504" w:right="0"/>
      </w:pPr>
      <w:r>
        <w:t>CSWR-Texas must comply with the recording requirements in TWC § 13.257(r) and (s) for the area in Orange County affected by the application and must submit to the Commission evidence of the recording no later than 45 days after receipt of the Notice of Approval.</w:t>
      </w:r>
    </w:p>
    <w:p w14:paraId="4FFD4698" w14:textId="298997B0" w:rsidR="00E34FF4" w:rsidRDefault="0071422C" w:rsidP="00217478">
      <w:pPr>
        <w:pStyle w:val="FoFs"/>
        <w:spacing w:after="0"/>
        <w:ind w:left="504" w:right="0"/>
      </w:pPr>
      <w:r>
        <w:t>Within ten days of the date of the Notice of Approval, Commission Staff must provide a clean copy of the tariff</w:t>
      </w:r>
      <w:r w:rsidR="002452CD">
        <w:t>s</w:t>
      </w:r>
      <w:r>
        <w:t xml:space="preserve"> approved by this Notice of Approval to central records to be marked Approved and filed in the Commission’s tariff books.</w:t>
      </w:r>
    </w:p>
    <w:p w14:paraId="4FFD4699" w14:textId="77777777" w:rsidR="00E34FF4" w:rsidRDefault="0071422C" w:rsidP="00217478">
      <w:pPr>
        <w:pStyle w:val="FoFs"/>
        <w:spacing w:after="240"/>
        <w:ind w:left="504" w:right="0"/>
      </w:pPr>
      <w:r>
        <w:lastRenderedPageBreak/>
        <w:t>The Commission denies all other motions and any other requests for general or specific relief, if not expressly granted.</w:t>
      </w:r>
      <w:bookmarkEnd w:id="10"/>
    </w:p>
    <w:p w14:paraId="4FFD469A" w14:textId="18922F3E" w:rsidR="00E34FF4" w:rsidRDefault="0071422C">
      <w:pPr>
        <w:pStyle w:val="NoSpacing"/>
        <w:ind w:firstLine="720"/>
        <w:rPr>
          <w:rFonts w:ascii="Times New Roman" w:hAnsi="Times New Roman" w:cs="Times New Roman"/>
          <w:b/>
          <w:bCs/>
          <w:sz w:val="24"/>
          <w:szCs w:val="24"/>
        </w:rPr>
      </w:pPr>
      <w:r>
        <w:rPr>
          <w:rFonts w:ascii="Times New Roman" w:hAnsi="Times New Roman" w:cs="Times New Roman"/>
          <w:b/>
          <w:bCs/>
          <w:sz w:val="24"/>
          <w:szCs w:val="24"/>
        </w:rPr>
        <w:t>Signed at Austin, Texas the __ day of January 2023.</w:t>
      </w:r>
    </w:p>
    <w:p w14:paraId="4FFD469B" w14:textId="77777777" w:rsidR="00E34FF4" w:rsidRDefault="00E34FF4">
      <w:pPr>
        <w:pStyle w:val="NoSpacing"/>
        <w:ind w:firstLine="720"/>
        <w:rPr>
          <w:rFonts w:ascii="Times New Roman" w:hAnsi="Times New Roman" w:cs="Times New Roman"/>
          <w:b/>
          <w:bCs/>
          <w:sz w:val="24"/>
          <w:szCs w:val="24"/>
        </w:rPr>
      </w:pPr>
    </w:p>
    <w:tbl>
      <w:tblPr>
        <w:tblW w:w="5040" w:type="dxa"/>
        <w:tblInd w:w="4320" w:type="dxa"/>
        <w:tblCellMar>
          <w:left w:w="0" w:type="dxa"/>
          <w:right w:w="0" w:type="dxa"/>
        </w:tblCellMar>
        <w:tblLook w:val="01E0" w:firstRow="1" w:lastRow="1" w:firstColumn="1" w:lastColumn="1" w:noHBand="0" w:noVBand="0"/>
      </w:tblPr>
      <w:tblGrid>
        <w:gridCol w:w="5040"/>
      </w:tblGrid>
      <w:tr w:rsidR="00E34FF4" w14:paraId="4FFD469E" w14:textId="77777777">
        <w:trPr>
          <w:cantSplit/>
        </w:trPr>
        <w:tc>
          <w:tcPr>
            <w:tcW w:w="5040" w:type="dxa"/>
            <w:hideMark/>
          </w:tcPr>
          <w:p w14:paraId="4FFD469D" w14:textId="77777777" w:rsidR="00E34FF4" w:rsidRDefault="0071422C">
            <w:pPr>
              <w:pStyle w:val="NoSpacing"/>
              <w:rPr>
                <w:rFonts w:ascii="Times New Roman" w:eastAsia="SimSun" w:hAnsi="Times New Roman" w:cs="Times New Roman"/>
                <w:b/>
                <w:bCs/>
                <w:sz w:val="24"/>
                <w:szCs w:val="24"/>
              </w:rPr>
            </w:pPr>
            <w:r>
              <w:rPr>
                <w:rFonts w:ascii="Times New Roman" w:eastAsia="SimSun" w:hAnsi="Times New Roman" w:cs="Times New Roman"/>
                <w:b/>
                <w:bCs/>
                <w:sz w:val="24"/>
                <w:szCs w:val="24"/>
              </w:rPr>
              <w:t>PUBLIC UTILITY COMMISSION OF TEXAS</w:t>
            </w:r>
          </w:p>
        </w:tc>
      </w:tr>
      <w:tr w:rsidR="00E34FF4" w14:paraId="4FFD46A2" w14:textId="77777777">
        <w:trPr>
          <w:cantSplit/>
        </w:trPr>
        <w:tc>
          <w:tcPr>
            <w:tcW w:w="5040" w:type="dxa"/>
            <w:tcBorders>
              <w:top w:val="nil"/>
              <w:left w:val="nil"/>
              <w:bottom w:val="single" w:sz="4" w:space="0" w:color="auto"/>
              <w:right w:val="nil"/>
            </w:tcBorders>
          </w:tcPr>
          <w:p w14:paraId="4FFD469F" w14:textId="77777777" w:rsidR="00E34FF4" w:rsidRDefault="00E34FF4">
            <w:pPr>
              <w:pStyle w:val="NoSpacing"/>
              <w:rPr>
                <w:rFonts w:ascii="Times New Roman" w:eastAsia="SimSun" w:hAnsi="Times New Roman" w:cs="Times New Roman"/>
                <w:b/>
                <w:bCs/>
                <w:sz w:val="24"/>
                <w:szCs w:val="24"/>
              </w:rPr>
            </w:pPr>
          </w:p>
          <w:p w14:paraId="4FFD46A0" w14:textId="77777777" w:rsidR="00E34FF4" w:rsidRDefault="00E34FF4">
            <w:pPr>
              <w:pStyle w:val="NoSpacing"/>
              <w:rPr>
                <w:rFonts w:ascii="Times New Roman" w:eastAsia="SimSun" w:hAnsi="Times New Roman" w:cs="Times New Roman"/>
                <w:b/>
                <w:bCs/>
                <w:sz w:val="24"/>
                <w:szCs w:val="24"/>
              </w:rPr>
            </w:pPr>
          </w:p>
          <w:p w14:paraId="4FFD46A1" w14:textId="77777777" w:rsidR="00E34FF4" w:rsidRDefault="00E34FF4">
            <w:pPr>
              <w:pStyle w:val="NoSpacing"/>
              <w:rPr>
                <w:rFonts w:ascii="Times New Roman" w:eastAsia="SimSun" w:hAnsi="Times New Roman" w:cs="Times New Roman"/>
                <w:b/>
                <w:bCs/>
                <w:sz w:val="24"/>
                <w:szCs w:val="24"/>
              </w:rPr>
            </w:pPr>
          </w:p>
        </w:tc>
      </w:tr>
      <w:tr w:rsidR="00E34FF4" w14:paraId="4FFD46A5" w14:textId="77777777">
        <w:trPr>
          <w:cantSplit/>
        </w:trPr>
        <w:tc>
          <w:tcPr>
            <w:tcW w:w="5040" w:type="dxa"/>
            <w:tcBorders>
              <w:top w:val="single" w:sz="4" w:space="0" w:color="auto"/>
              <w:left w:val="nil"/>
              <w:bottom w:val="nil"/>
              <w:right w:val="nil"/>
            </w:tcBorders>
            <w:hideMark/>
          </w:tcPr>
          <w:p w14:paraId="4FFD46A3" w14:textId="77777777" w:rsidR="00E34FF4" w:rsidRDefault="0071422C">
            <w:pPr>
              <w:pStyle w:val="NoSpacing"/>
              <w:rPr>
                <w:rFonts w:ascii="Times New Roman" w:eastAsia="SimSun" w:hAnsi="Times New Roman" w:cs="Times New Roman"/>
                <w:b/>
                <w:bCs/>
                <w:sz w:val="24"/>
                <w:szCs w:val="24"/>
              </w:rPr>
            </w:pPr>
            <w:r>
              <w:rPr>
                <w:rFonts w:ascii="Times New Roman" w:eastAsia="SimSun" w:hAnsi="Times New Roman" w:cs="Times New Roman"/>
                <w:b/>
                <w:bCs/>
                <w:sz w:val="24"/>
                <w:szCs w:val="24"/>
              </w:rPr>
              <w:t>KATIE MOORE MARX</w:t>
            </w:r>
          </w:p>
          <w:p w14:paraId="4FFD46A4" w14:textId="77777777" w:rsidR="00E34FF4" w:rsidRDefault="0071422C">
            <w:pPr>
              <w:pStyle w:val="NoSpacing"/>
              <w:rPr>
                <w:rFonts w:ascii="Times New Roman" w:eastAsia="SimSun" w:hAnsi="Times New Roman" w:cs="Times New Roman"/>
                <w:b/>
                <w:bCs/>
                <w:sz w:val="24"/>
                <w:szCs w:val="24"/>
              </w:rPr>
            </w:pPr>
            <w:r>
              <w:rPr>
                <w:rFonts w:ascii="Times New Roman" w:eastAsia="SimSun" w:hAnsi="Times New Roman" w:cs="Times New Roman"/>
                <w:b/>
                <w:bCs/>
                <w:sz w:val="24"/>
                <w:szCs w:val="24"/>
              </w:rPr>
              <w:t>ADMINISTRATIVE LAW JUDGE</w:t>
            </w:r>
          </w:p>
        </w:tc>
        <w:bookmarkEnd w:id="6"/>
      </w:tr>
    </w:tbl>
    <w:p w14:paraId="4FFD46A7" w14:textId="77777777" w:rsidR="00E34FF4" w:rsidRDefault="00E34FF4" w:rsidP="00686704">
      <w:pPr>
        <w:pStyle w:val="EndMatter"/>
        <w:rPr>
          <w:sz w:val="16"/>
          <w:szCs w:val="16"/>
        </w:rPr>
      </w:pPr>
    </w:p>
    <w:sectPr w:rsidR="00E34FF4">
      <w:headerReference w:type="default" r:id="rId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536F46" w14:textId="77777777" w:rsidR="00EC327C" w:rsidRDefault="00EC327C">
      <w:r>
        <w:separator/>
      </w:r>
    </w:p>
  </w:endnote>
  <w:endnote w:type="continuationSeparator" w:id="0">
    <w:p w14:paraId="7AEEC468" w14:textId="77777777" w:rsidR="00EC327C" w:rsidRDefault="00EC32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5BB0EC" w14:textId="77777777" w:rsidR="00EC327C" w:rsidRDefault="00EC327C">
      <w:r>
        <w:separator/>
      </w:r>
    </w:p>
  </w:footnote>
  <w:footnote w:type="continuationSeparator" w:id="0">
    <w:p w14:paraId="627D6AEA" w14:textId="77777777" w:rsidR="00EC327C" w:rsidRDefault="00EC327C">
      <w:r>
        <w:continuationSeparator/>
      </w:r>
    </w:p>
  </w:footnote>
  <w:footnote w:id="1">
    <w:p w14:paraId="4FFD46AD" w14:textId="77777777" w:rsidR="00E34FF4" w:rsidRDefault="0071422C">
      <w:pPr>
        <w:pStyle w:val="FootnoteText"/>
        <w:jc w:val="both"/>
      </w:pPr>
      <w:r>
        <w:rPr>
          <w:rStyle w:val="FootnoteReference"/>
        </w:rPr>
        <w:footnoteRef/>
      </w:r>
      <w:r>
        <w:t xml:space="preserve">  </w:t>
      </w:r>
      <w:r>
        <w:rPr>
          <w:i/>
          <w:iCs/>
        </w:rPr>
        <w:t>Application of JRM Water LLC and CSWR-Texas Utility Operating Company, LLC for Sale, Transfer, or Merger of Facilities and Certificate Rights in Victoria County</w:t>
      </w:r>
      <w:r>
        <w:t>, Docket No. 50251, Notice of Approval (Mar. 12, 2021).</w:t>
      </w:r>
    </w:p>
  </w:footnote>
  <w:footnote w:id="2">
    <w:p w14:paraId="4FFD46AE" w14:textId="77777777" w:rsidR="00E34FF4" w:rsidRDefault="0071422C">
      <w:pPr>
        <w:pStyle w:val="FootnoteText"/>
        <w:jc w:val="both"/>
      </w:pPr>
      <w:r>
        <w:rPr>
          <w:rStyle w:val="FootnoteReference"/>
        </w:rPr>
        <w:footnoteRef/>
      </w:r>
      <w:r>
        <w:t xml:space="preserve">  </w:t>
      </w:r>
      <w:r>
        <w:rPr>
          <w:i/>
          <w:iCs/>
        </w:rPr>
        <w:t>Application of North Victoria Utilities, Inc. and CSWR-Texas Utility Operating Company, LLC for Sale, Transfer, or Merger of Facilities and Certificate Rights in Victoria County</w:t>
      </w:r>
      <w:r>
        <w:t>, Docket No. 50276, Notice of Approval (Mar. 11, 2021).</w:t>
      </w:r>
    </w:p>
  </w:footnote>
  <w:footnote w:id="3">
    <w:p w14:paraId="4FFD46AF" w14:textId="77777777" w:rsidR="00E34FF4" w:rsidRDefault="0071422C">
      <w:pPr>
        <w:pStyle w:val="FootnoteText"/>
        <w:jc w:val="both"/>
      </w:pPr>
      <w:r>
        <w:rPr>
          <w:rStyle w:val="FootnoteReference"/>
        </w:rPr>
        <w:footnoteRef/>
      </w:r>
      <w:r>
        <w:t xml:space="preserve">  </w:t>
      </w:r>
      <w:r>
        <w:rPr>
          <w:i/>
          <w:iCs/>
        </w:rPr>
        <w:t>Application of Copano Heights Water Company and CSWR-Texas Utility Operating Company, LLC for Sale, Transfer, or Merger of Facilities and Certificate Rights in Aransas County</w:t>
      </w:r>
      <w:r>
        <w:t>, Docket No. 50311, Notice of Approval (Mar. 17, 2021).</w:t>
      </w:r>
    </w:p>
  </w:footnote>
  <w:footnote w:id="4">
    <w:p w14:paraId="4FFD46B0" w14:textId="77777777" w:rsidR="00E34FF4" w:rsidRDefault="0071422C">
      <w:pPr>
        <w:pStyle w:val="FootnoteText"/>
        <w:jc w:val="both"/>
      </w:pPr>
      <w:r>
        <w:rPr>
          <w:rStyle w:val="FootnoteReference"/>
        </w:rPr>
        <w:footnoteRef/>
      </w:r>
      <w:r>
        <w:t xml:space="preserve"> </w:t>
      </w:r>
      <w:r>
        <w:rPr>
          <w:i/>
          <w:iCs/>
        </w:rPr>
        <w:t>Application of Ranch Country of Texas Water Systems, Inc. and CSWR-Texas Utility Operating Company, LLC for Sale, Transfer, or Merger of Facilities and Certificate Rights in Austin County</w:t>
      </w:r>
      <w:r>
        <w:t>, Docket No. 50989, Notice of Approval (Apr. 23, 2021).</w:t>
      </w:r>
    </w:p>
  </w:footnote>
  <w:footnote w:id="5">
    <w:p w14:paraId="4FFD46B1" w14:textId="77777777" w:rsidR="00E34FF4" w:rsidRDefault="0071422C">
      <w:pPr>
        <w:pStyle w:val="FootnoteText"/>
        <w:jc w:val="both"/>
      </w:pPr>
      <w:r>
        <w:rPr>
          <w:rStyle w:val="FootnoteReference"/>
        </w:rPr>
        <w:footnoteRef/>
      </w:r>
      <w:r>
        <w:t xml:space="preserve">  </w:t>
      </w:r>
      <w:r>
        <w:rPr>
          <w:i/>
          <w:iCs/>
        </w:rPr>
        <w:t>Application of Oak Hill Ranch Estates Water and CSWR-Texas Utility Operating Company, LLC for Sale, Transfer, or Merger of Facilities and Certificate Rights in Guadalupe and Wilson Counties</w:t>
      </w:r>
      <w:r>
        <w:t>, Docket No. 51003, Notice of Approval (Sept. 9, 2021).</w:t>
      </w:r>
    </w:p>
  </w:footnote>
  <w:footnote w:id="6">
    <w:p w14:paraId="4FFD46B2" w14:textId="77777777" w:rsidR="00E34FF4" w:rsidRDefault="0071422C">
      <w:pPr>
        <w:pStyle w:val="FootnoteText"/>
        <w:jc w:val="both"/>
      </w:pPr>
      <w:r>
        <w:rPr>
          <w:rStyle w:val="FootnoteReference"/>
        </w:rPr>
        <w:footnoteRef/>
      </w:r>
      <w:r>
        <w:t xml:space="preserve">  </w:t>
      </w:r>
      <w:r>
        <w:rPr>
          <w:i/>
          <w:iCs/>
        </w:rPr>
        <w:t>Application of Tall Pines Utility, Inc. and CSWR-Texas Utility Operating Company, LLC for Sale, Transfer, or Merger of Facilities and Certificate Rights in Harris County</w:t>
      </w:r>
      <w:r>
        <w:t>, Docket No. 51026, Notice of Approval (Apr. 23, 2021).</w:t>
      </w:r>
    </w:p>
  </w:footnote>
  <w:footnote w:id="7">
    <w:p w14:paraId="4FFD46B3" w14:textId="77777777" w:rsidR="00E34FF4" w:rsidRDefault="0071422C">
      <w:pPr>
        <w:pStyle w:val="FootnoteText"/>
        <w:jc w:val="both"/>
      </w:pPr>
      <w:r>
        <w:rPr>
          <w:rStyle w:val="FootnoteReference"/>
        </w:rPr>
        <w:footnoteRef/>
      </w:r>
      <w:r>
        <w:t xml:space="preserve">  </w:t>
      </w:r>
      <w:r>
        <w:rPr>
          <w:i/>
          <w:iCs/>
        </w:rPr>
        <w:t>Application of Council Creek Village, Inc. dba Council Creek Village dba South Council Creek 2 and CSWR-Texas Utility Operating Company, LLC for Sale, Transfer, or Merger of Facilities and Certificate Rights in Burnet County</w:t>
      </w:r>
      <w:r>
        <w:t>, Docket No. 51031, Notice of Approval (Apr. 14, 2021).</w:t>
      </w:r>
    </w:p>
  </w:footnote>
  <w:footnote w:id="8">
    <w:p w14:paraId="4FFD46B4" w14:textId="77777777" w:rsidR="00E34FF4" w:rsidRDefault="0071422C">
      <w:pPr>
        <w:pStyle w:val="FootnoteText"/>
        <w:jc w:val="both"/>
      </w:pPr>
      <w:r>
        <w:rPr>
          <w:rStyle w:val="FootnoteReference"/>
        </w:rPr>
        <w:footnoteRef/>
      </w:r>
      <w:r>
        <w:t xml:space="preserve">  </w:t>
      </w:r>
      <w:r>
        <w:rPr>
          <w:i/>
          <w:iCs/>
        </w:rPr>
        <w:t>Application of Kathie Lou Daniels dba Woodlands West and CSWR-Texas Utility Operating Company, LLC for Sale, Transfer, or Merger of Facilities and Certificate Rights in Burleson County</w:t>
      </w:r>
      <w:r>
        <w:t>, Docket No. 51036, Notice of Approval (Aug. 23, 2021).</w:t>
      </w:r>
    </w:p>
  </w:footnote>
  <w:footnote w:id="9">
    <w:p w14:paraId="4FFD46B5" w14:textId="77777777" w:rsidR="00E34FF4" w:rsidRDefault="0071422C">
      <w:pPr>
        <w:pStyle w:val="FootnoteText"/>
        <w:jc w:val="both"/>
      </w:pPr>
      <w:r>
        <w:rPr>
          <w:rStyle w:val="FootnoteReference"/>
        </w:rPr>
        <w:footnoteRef/>
      </w:r>
      <w:r>
        <w:t xml:space="preserve">  </w:t>
      </w:r>
      <w:r>
        <w:rPr>
          <w:i/>
          <w:iCs/>
        </w:rPr>
        <w:t>Application of Jones-Owen Company dba South Silver Creek I, II, and III and CSWR-Texas Utility Operating Company, LLC for Sale, Transfer, or Merger of Facilities and Certificate Rights in Burnet County</w:t>
      </w:r>
      <w:r>
        <w:t>, Docket No. 51047, Notice of Approval (Apr. 19, 2021).</w:t>
      </w:r>
    </w:p>
  </w:footnote>
  <w:footnote w:id="10">
    <w:p w14:paraId="4FFD46B6" w14:textId="77777777" w:rsidR="00E34FF4" w:rsidRDefault="0071422C">
      <w:pPr>
        <w:pStyle w:val="FootnoteText"/>
        <w:jc w:val="both"/>
      </w:pPr>
      <w:r>
        <w:rPr>
          <w:rStyle w:val="FootnoteReference"/>
        </w:rPr>
        <w:footnoteRef/>
      </w:r>
      <w:r>
        <w:t xml:space="preserve">  </w:t>
      </w:r>
      <w:r>
        <w:rPr>
          <w:i/>
          <w:iCs/>
        </w:rPr>
        <w:t>Application of Treetop Utilities, Inc. and CSWR-Texas Utility Operating Company, LLC for Sale, Transfer, or Merger of Facilities and Certificate Rights in Parker County</w:t>
      </w:r>
      <w:r>
        <w:t>, Docket No. 51065, Corrected Notice of Approval (Mar. 10, 2021).</w:t>
      </w:r>
    </w:p>
  </w:footnote>
  <w:footnote w:id="11">
    <w:p w14:paraId="4FFD46B7" w14:textId="77777777" w:rsidR="00E34FF4" w:rsidRDefault="0071422C">
      <w:pPr>
        <w:pStyle w:val="FootnoteText"/>
        <w:jc w:val="both"/>
      </w:pPr>
      <w:r>
        <w:rPr>
          <w:rStyle w:val="FootnoteReference"/>
        </w:rPr>
        <w:footnoteRef/>
      </w:r>
      <w:r>
        <w:t xml:space="preserve">  </w:t>
      </w:r>
      <w:r>
        <w:rPr>
          <w:i/>
          <w:iCs/>
        </w:rPr>
        <w:t>Application of Donald E. Wilson dba Quiet Village II dba QV Utility and CSWR-Texas Utility Operating Company, LLC for Sale, Transfer, or Merger of Facilities and Certificate Rights in Hidalgo County</w:t>
      </w:r>
      <w:r>
        <w:t>, Docket No. 51089, Notice of Approval (Nov. 18, 2021).</w:t>
      </w:r>
    </w:p>
  </w:footnote>
  <w:footnote w:id="12">
    <w:p w14:paraId="4FFD46B8" w14:textId="77777777" w:rsidR="00E34FF4" w:rsidRDefault="0071422C">
      <w:pPr>
        <w:pStyle w:val="FootnoteText"/>
        <w:jc w:val="both"/>
      </w:pPr>
      <w:r>
        <w:rPr>
          <w:rStyle w:val="FootnoteReference"/>
        </w:rPr>
        <w:footnoteRef/>
      </w:r>
      <w:r>
        <w:t xml:space="preserve">  </w:t>
      </w:r>
      <w:r>
        <w:rPr>
          <w:i/>
          <w:iCs/>
        </w:rPr>
        <w:t>Application of Shady Oaks Water Supply Company, LLC and CSWR-Texas Utility Operating Company, LLC for Sale, Transfer, or Merger of Facilities and Certificate Rights in Wilson County</w:t>
      </w:r>
      <w:r>
        <w:t>, Docket No. 51118, Notice of Approval (Mar. 18, 2021).</w:t>
      </w:r>
    </w:p>
  </w:footnote>
  <w:footnote w:id="13">
    <w:p w14:paraId="4FFD46B9" w14:textId="77777777" w:rsidR="00E34FF4" w:rsidRDefault="0071422C">
      <w:pPr>
        <w:pStyle w:val="FootnoteText"/>
        <w:jc w:val="both"/>
      </w:pPr>
      <w:r>
        <w:rPr>
          <w:rStyle w:val="FootnoteReference"/>
        </w:rPr>
        <w:footnoteRef/>
      </w:r>
      <w:r>
        <w:t xml:space="preserve">  </w:t>
      </w:r>
      <w:r>
        <w:rPr>
          <w:i/>
          <w:iCs/>
        </w:rPr>
        <w:t>Application of Shawn M. Horvath dba Aero Valley Water Service and CSWR-Texas Utility Operating Company, LLC For Sale, Transfer, Or Merger of Facilities and to Amend CSWR-Texas Utility Operating Company, LLC’s Certificate of Convenience and Necessity in Denton County</w:t>
      </w:r>
      <w:r>
        <w:t>, Docket No. 51126 (pending).</w:t>
      </w:r>
    </w:p>
  </w:footnote>
  <w:footnote w:id="14">
    <w:p w14:paraId="4FFD46BA" w14:textId="77777777" w:rsidR="00E34FF4" w:rsidRDefault="0071422C">
      <w:pPr>
        <w:pStyle w:val="FootnoteText"/>
        <w:jc w:val="both"/>
      </w:pPr>
      <w:r>
        <w:rPr>
          <w:rStyle w:val="FootnoteReference"/>
        </w:rPr>
        <w:footnoteRef/>
      </w:r>
      <w:r>
        <w:t xml:space="preserve">  </w:t>
      </w:r>
      <w:r>
        <w:rPr>
          <w:i/>
          <w:iCs/>
        </w:rPr>
        <w:t>Application of Laguna Vista Limited and Laguna Tres, Inc. CSWR-Texas Utility Operating Company, LLC for Sale, Transfer, or Merger of Facilities and Certificate Rights in Hood County</w:t>
      </w:r>
      <w:r>
        <w:t>, Docket No. 51130, Notice of Approval (Apr. 20, 2021).</w:t>
      </w:r>
    </w:p>
  </w:footnote>
  <w:footnote w:id="15">
    <w:p w14:paraId="4FFD46BB" w14:textId="77777777" w:rsidR="00E34FF4" w:rsidRDefault="0071422C">
      <w:pPr>
        <w:pStyle w:val="FootnoteText"/>
        <w:jc w:val="both"/>
      </w:pPr>
      <w:r>
        <w:rPr>
          <w:rStyle w:val="FootnoteReference"/>
        </w:rPr>
        <w:footnoteRef/>
      </w:r>
      <w:r>
        <w:t xml:space="preserve">  </w:t>
      </w:r>
      <w:r>
        <w:rPr>
          <w:i/>
          <w:iCs/>
        </w:rPr>
        <w:t>Application of Abraxas Corporation and CSWR-Texas Utility Operating Company, LLC for Sale, Transfer, or Merger of Facilities and Certificate Rights in Parker County</w:t>
      </w:r>
      <w:r>
        <w:t>, Docket No. 51146, Notice of Approval (Apr. 23, 2021).</w:t>
      </w:r>
    </w:p>
  </w:footnote>
  <w:footnote w:id="16">
    <w:p w14:paraId="4FFD46BC" w14:textId="77777777" w:rsidR="00E34FF4" w:rsidRDefault="0071422C">
      <w:pPr>
        <w:pStyle w:val="FootnoteText"/>
        <w:jc w:val="both"/>
      </w:pPr>
      <w:r>
        <w:rPr>
          <w:rStyle w:val="FootnoteReference"/>
        </w:rPr>
        <w:footnoteRef/>
      </w:r>
      <w:r>
        <w:t xml:space="preserve">  </w:t>
      </w:r>
      <w:r>
        <w:rPr>
          <w:i/>
          <w:iCs/>
        </w:rPr>
        <w:t>Application of David Petty, Executor of the Estate of Patetreen Petty McCoy dba Big Wood Springs Water Company and CSWR-Texas Utility Operating Company, LLC for Sale, Transfer, or Merger of Facilities and Certificate Rights in Wood County</w:t>
      </w:r>
      <w:r>
        <w:t>, Docket No. 51222, Notice of Approval (Feb. 16, 2022).</w:t>
      </w:r>
    </w:p>
  </w:footnote>
  <w:footnote w:id="17">
    <w:p w14:paraId="4FFD46BD" w14:textId="77777777" w:rsidR="00E34FF4" w:rsidRDefault="0071422C">
      <w:pPr>
        <w:pStyle w:val="FootnoteText"/>
        <w:jc w:val="both"/>
      </w:pPr>
      <w:r>
        <w:rPr>
          <w:rStyle w:val="FootnoteReference"/>
        </w:rPr>
        <w:footnoteRef/>
      </w:r>
      <w:r>
        <w:t xml:space="preserve">  </w:t>
      </w:r>
      <w:r>
        <w:rPr>
          <w:i/>
          <w:iCs/>
        </w:rPr>
        <w:t>Application of Franklin Water Service Co. LLC and CSWR-Texas Utility Operating Company, LLC For Sale, Transfer, Or Merger of Facilities and Certificate Rights in Lubbock County</w:t>
      </w:r>
      <w:r>
        <w:t>, Docket No. 51544, Notice of Approval (Feb. 15, 2022).</w:t>
      </w:r>
    </w:p>
  </w:footnote>
  <w:footnote w:id="18">
    <w:p w14:paraId="4FFD46BE" w14:textId="77777777" w:rsidR="00E34FF4" w:rsidRDefault="0071422C">
      <w:pPr>
        <w:pStyle w:val="FootnoteText"/>
        <w:jc w:val="both"/>
      </w:pPr>
      <w:r>
        <w:rPr>
          <w:rStyle w:val="FootnoteReference"/>
        </w:rPr>
        <w:footnoteRef/>
      </w:r>
      <w:r>
        <w:t xml:space="preserve">  </w:t>
      </w:r>
      <w:r>
        <w:rPr>
          <w:i/>
          <w:iCs/>
        </w:rPr>
        <w:t>Application of James L. Nelson dba WaterCo and CSWR-Texas Utility Operating Company, LLC for Sale, Transfer, or Merger of Facilities and Certificate Rights in Montague County</w:t>
      </w:r>
      <w:r>
        <w:t>, Docket No. 51642, Notice of Approval (Mar. 15, 2022).</w:t>
      </w:r>
    </w:p>
  </w:footnote>
  <w:footnote w:id="19">
    <w:p w14:paraId="4FFD46BF" w14:textId="77777777" w:rsidR="00E34FF4" w:rsidRDefault="0071422C">
      <w:pPr>
        <w:pStyle w:val="FootnoteText"/>
        <w:jc w:val="both"/>
      </w:pPr>
      <w:r>
        <w:rPr>
          <w:rStyle w:val="FootnoteReference"/>
        </w:rPr>
        <w:footnoteRef/>
      </w:r>
      <w:r>
        <w:t xml:space="preserve">  </w:t>
      </w:r>
      <w:r>
        <w:rPr>
          <w:i/>
          <w:iCs/>
        </w:rPr>
        <w:t>Application of Rocket Water Company, Inc. and CSWR-Texas Utility Operating Company, LLC For Sale, Transfer, Or Merger of Facilities and Certificate Rights in Hays County</w:t>
      </w:r>
      <w:r>
        <w:t>, Docket No. 51917, Notice of Approval (Mar. 8, 2022).</w:t>
      </w:r>
    </w:p>
  </w:footnote>
  <w:footnote w:id="20">
    <w:p w14:paraId="4FFD46C0" w14:textId="77777777" w:rsidR="00E34FF4" w:rsidRDefault="0071422C">
      <w:pPr>
        <w:pStyle w:val="FootnoteText"/>
        <w:jc w:val="both"/>
      </w:pPr>
      <w:r>
        <w:rPr>
          <w:rStyle w:val="FootnoteReference"/>
        </w:rPr>
        <w:footnoteRef/>
      </w:r>
      <w:r>
        <w:t xml:space="preserve">  </w:t>
      </w:r>
      <w:r>
        <w:rPr>
          <w:i/>
          <w:iCs/>
        </w:rPr>
        <w:t>Application of Betty J. Dragoo and CSWR-Texas Utility Operating Company, LLC For Sale, Transfer, or Merger of Facilities and Associated Acreage in Erath County</w:t>
      </w:r>
      <w:r>
        <w:t>, Docket No. 51928, Notice of Approval (Jan. 21, 2022).</w:t>
      </w:r>
    </w:p>
  </w:footnote>
  <w:footnote w:id="21">
    <w:p w14:paraId="4FFD46C1" w14:textId="77777777" w:rsidR="00E34FF4" w:rsidRDefault="0071422C">
      <w:pPr>
        <w:pStyle w:val="FootnoteText"/>
        <w:jc w:val="both"/>
      </w:pPr>
      <w:r>
        <w:rPr>
          <w:rStyle w:val="FootnoteReference"/>
        </w:rPr>
        <w:footnoteRef/>
      </w:r>
      <w:r>
        <w:t xml:space="preserve">  </w:t>
      </w:r>
      <w:r>
        <w:rPr>
          <w:i/>
          <w:iCs/>
        </w:rPr>
        <w:t>Application of Walnut Bend Water Supply and CSWR-Texas Utility Operating Company, LLC For Sale, Transfer or Merger of Facilities and Certificate Rights in Angelina County</w:t>
      </w:r>
      <w:r>
        <w:t>, Docket No. 51940, Notice of Approval (Mar. 15, 2022).</w:t>
      </w:r>
    </w:p>
  </w:footnote>
  <w:footnote w:id="22">
    <w:p w14:paraId="4FFD46C2" w14:textId="77777777" w:rsidR="00E34FF4" w:rsidRDefault="0071422C">
      <w:pPr>
        <w:pStyle w:val="FootnoteText"/>
        <w:jc w:val="both"/>
      </w:pPr>
      <w:r>
        <w:rPr>
          <w:rStyle w:val="FootnoteReference"/>
        </w:rPr>
        <w:footnoteRef/>
      </w:r>
      <w:r>
        <w:t xml:space="preserve">  </w:t>
      </w:r>
      <w:r>
        <w:rPr>
          <w:i/>
          <w:iCs/>
        </w:rPr>
        <w:t>Application of Live Oak Hills and Flag Creek Ranch Water Systems and CSWR-Texas Utility Operating Company, LLC for Sale, Transfer, or Merger of Facilities and Certificate Rights in Llano and McCulloch Counties</w:t>
      </w:r>
      <w:r>
        <w:t>, Docket No. 51981, Notice of Approval (Jan. 28, 2022).</w:t>
      </w:r>
    </w:p>
  </w:footnote>
  <w:footnote w:id="23">
    <w:p w14:paraId="4FFD46C3" w14:textId="77777777" w:rsidR="00E34FF4" w:rsidRDefault="0071422C">
      <w:pPr>
        <w:pStyle w:val="FootnoteText"/>
        <w:jc w:val="both"/>
      </w:pPr>
      <w:r>
        <w:rPr>
          <w:rStyle w:val="FootnoteReference"/>
        </w:rPr>
        <w:footnoteRef/>
      </w:r>
      <w:r>
        <w:t xml:space="preserve">  </w:t>
      </w:r>
      <w:r>
        <w:rPr>
          <w:i/>
          <w:iCs/>
        </w:rPr>
        <w:t>Application of Alpha Utility of Camp County, LLC and CSWR-Texas utility Operating Company, LLC for Sale, Transfer, or Merger of Facilities and Certificate Rights in Camp County</w:t>
      </w:r>
      <w:r>
        <w:t>, Docket No. 52089, Notice of Approval (Mar. 25, 2022).</w:t>
      </w:r>
    </w:p>
  </w:footnote>
  <w:footnote w:id="24">
    <w:p w14:paraId="4FFD46C4" w14:textId="77777777" w:rsidR="00E34FF4" w:rsidRDefault="0071422C">
      <w:pPr>
        <w:pStyle w:val="FootnoteText"/>
        <w:jc w:val="both"/>
      </w:pPr>
      <w:r>
        <w:rPr>
          <w:rStyle w:val="FootnoteReference"/>
        </w:rPr>
        <w:footnoteRef/>
      </w:r>
      <w:r>
        <w:t xml:space="preserve">  </w:t>
      </w:r>
      <w:r>
        <w:rPr>
          <w:i/>
          <w:iCs/>
        </w:rPr>
        <w:t>Application of THRC Utility, LLC and CSWR-Texas Utility Operating Company, LLC for Sale, Transfer, or Merger of Facilities and Certificate Rights in Navarro County</w:t>
      </w:r>
      <w:r>
        <w:t>, Docket No. 52099, Corrected Notice of Approval (July 28, 2022).</w:t>
      </w:r>
    </w:p>
  </w:footnote>
  <w:footnote w:id="25">
    <w:p w14:paraId="4FFD46C5" w14:textId="77777777" w:rsidR="00E34FF4" w:rsidRDefault="0071422C">
      <w:pPr>
        <w:pStyle w:val="FootnoteText"/>
        <w:jc w:val="both"/>
      </w:pPr>
      <w:r>
        <w:rPr>
          <w:rStyle w:val="FootnoteReference"/>
        </w:rPr>
        <w:footnoteRef/>
      </w:r>
      <w:r>
        <w:t xml:space="preserve">  </w:t>
      </w:r>
      <w:r>
        <w:rPr>
          <w:i/>
          <w:iCs/>
        </w:rPr>
        <w:t>Application of CSWR-Texas Utility Operating Company, LLC and Leon Springs Utility Company, Inc. for Sale, Transfer, or Merger of Facilities and Certificate Rights in Bexar County</w:t>
      </w:r>
      <w:r>
        <w:t>, Docket No. 52410, Notice of Approval (June 3, 2022).</w:t>
      </w:r>
    </w:p>
  </w:footnote>
  <w:footnote w:id="26">
    <w:p w14:paraId="4FFD46C6" w14:textId="77777777" w:rsidR="00E34FF4" w:rsidRDefault="0071422C">
      <w:pPr>
        <w:pStyle w:val="FootnoteText"/>
        <w:jc w:val="both"/>
      </w:pPr>
      <w:r>
        <w:rPr>
          <w:rStyle w:val="FootnoteReference"/>
        </w:rPr>
        <w:footnoteRef/>
      </w:r>
      <w:r>
        <w:t xml:space="preserve">  </w:t>
      </w:r>
      <w:r>
        <w:rPr>
          <w:i/>
        </w:rPr>
        <w:t>Application of Tri-County Point Property Owners Association and CSWR-Texas Utility Operating Company, LLC for Sale, Transfer, or Merger of Facilities and Certificate Rights in Calhoun and Jackson Counties</w:t>
      </w:r>
      <w:r>
        <w:t>, Docket No. 52661 (pending).</w:t>
      </w:r>
    </w:p>
  </w:footnote>
  <w:footnote w:id="27">
    <w:p w14:paraId="4FFD46C7" w14:textId="77777777" w:rsidR="00E34FF4" w:rsidRDefault="0071422C">
      <w:pPr>
        <w:pStyle w:val="FootnoteText"/>
        <w:jc w:val="both"/>
      </w:pPr>
      <w:r>
        <w:rPr>
          <w:rStyle w:val="FootnoteReference"/>
        </w:rPr>
        <w:footnoteRef/>
      </w:r>
      <w:r>
        <w:t xml:space="preserve">  </w:t>
      </w:r>
      <w:r>
        <w:rPr>
          <w:i/>
          <w:iCs/>
        </w:rPr>
        <w:t>Application of RJR Water Company, Inc. and CSWR-Texas Utility Operating Company, LLC for Sale, Transfer, or Merger of Facilities and Certificate Rights in Parker and Palo Pinto Counties</w:t>
      </w:r>
      <w:r>
        <w:t>, Docket No. 52700 (pending).</w:t>
      </w:r>
    </w:p>
  </w:footnote>
  <w:footnote w:id="28">
    <w:p w14:paraId="4FFD46C8" w14:textId="77777777" w:rsidR="00E34FF4" w:rsidRDefault="0071422C">
      <w:pPr>
        <w:pStyle w:val="FootnoteText"/>
        <w:jc w:val="both"/>
      </w:pPr>
      <w:r>
        <w:rPr>
          <w:rStyle w:val="FootnoteReference"/>
        </w:rPr>
        <w:footnoteRef/>
      </w:r>
      <w:r>
        <w:t xml:space="preserve">  </w:t>
      </w:r>
      <w:r>
        <w:rPr>
          <w:i/>
        </w:rPr>
        <w:t>Application of CSWR-Texas Utility Operating Company, LLC and Fremont Water Company for Sale, Transfer, or Merger of Facilities and Certificate Rights in Kerr County</w:t>
      </w:r>
      <w:r>
        <w:t>, Docket No. 52702, Notice of Approval (Aug. 5, 2022).</w:t>
      </w:r>
    </w:p>
  </w:footnote>
  <w:footnote w:id="29">
    <w:p w14:paraId="4FFD46C9" w14:textId="77777777" w:rsidR="00E34FF4" w:rsidRDefault="0071422C" w:rsidP="00321895">
      <w:pPr>
        <w:pStyle w:val="FootnoteText"/>
        <w:jc w:val="both"/>
      </w:pPr>
      <w:r>
        <w:rPr>
          <w:rStyle w:val="FootnoteReference"/>
        </w:rPr>
        <w:footnoteRef/>
      </w:r>
      <w:r>
        <w:t xml:space="preserve">  </w:t>
      </w:r>
      <w:r>
        <w:rPr>
          <w:i/>
        </w:rPr>
        <w:t>Application of Copano Cove Water Company, Inc. and CSWR-Texas Utility Operating Company, LLC for Sale, Transfer, or Merger of Facilities and Certificate rights in Aransas County</w:t>
      </w:r>
      <w:r>
        <w:t>, Docket No. 52803 (pending).</w:t>
      </w:r>
    </w:p>
  </w:footnote>
  <w:footnote w:id="30">
    <w:p w14:paraId="4FFD46CA" w14:textId="77777777" w:rsidR="00E34FF4" w:rsidRDefault="0071422C" w:rsidP="00321895">
      <w:pPr>
        <w:pStyle w:val="FootnoteText"/>
        <w:jc w:val="both"/>
      </w:pPr>
      <w:r>
        <w:rPr>
          <w:rStyle w:val="FootnoteReference"/>
        </w:rPr>
        <w:footnoteRef/>
      </w:r>
      <w:r>
        <w:t xml:space="preserve">  </w:t>
      </w:r>
      <w:r>
        <w:rPr>
          <w:i/>
        </w:rPr>
        <w:t>Application of Carroll Water Company, Inc. and CSWR-Texas Utility Operating Company, LLC for Sale, Transfer, or Merger of Facilities and Certificate Rights in Ellis County</w:t>
      </w:r>
      <w:r>
        <w:t>, Docket No. 52879 (pending).</w:t>
      </w:r>
    </w:p>
  </w:footnote>
  <w:footnote w:id="31">
    <w:p w14:paraId="4FFD46CB" w14:textId="77777777" w:rsidR="00E34FF4" w:rsidRDefault="0071422C" w:rsidP="00321895">
      <w:pPr>
        <w:pStyle w:val="FootnoteText"/>
        <w:jc w:val="both"/>
      </w:pPr>
      <w:r>
        <w:rPr>
          <w:rStyle w:val="FootnoteReference"/>
        </w:rPr>
        <w:footnoteRef/>
      </w:r>
      <w:r>
        <w:t xml:space="preserve">  </w:t>
      </w:r>
      <w:r>
        <w:rPr>
          <w:i/>
        </w:rPr>
        <w:t>Application of Texas Landing Utilities and CSWR-Texas Utility Operating Company, LLC for Sale, Transfer, or Merger of Facilities and Certificate Rights in Polk and Montgomery Counties</w:t>
      </w:r>
      <w:r>
        <w:t>, Docket No. 52880 (pending).</w:t>
      </w:r>
    </w:p>
  </w:footnote>
  <w:footnote w:id="32">
    <w:p w14:paraId="4FFD46CC" w14:textId="77777777" w:rsidR="00E34FF4" w:rsidRDefault="0071422C" w:rsidP="00321895">
      <w:pPr>
        <w:pStyle w:val="FootnoteText"/>
        <w:jc w:val="both"/>
      </w:pPr>
      <w:r>
        <w:rPr>
          <w:rStyle w:val="FootnoteReference"/>
        </w:rPr>
        <w:footnoteRef/>
      </w:r>
      <w:r>
        <w:t xml:space="preserve"> </w:t>
      </w:r>
      <w:r>
        <w:rPr>
          <w:i/>
          <w:iCs/>
        </w:rPr>
        <w:t xml:space="preserve">Application of Simply Aquatics, Inc. and CSWR-Texas Utility Operating Company, LLC for Sale, Transfer, or Merger of Facilities and Certificate Rights in Montgomery, Sabine, and San Augustine Counties, </w:t>
      </w:r>
      <w:r>
        <w:rPr>
          <w:iCs/>
        </w:rPr>
        <w:t xml:space="preserve">Docket No. 53138 </w:t>
      </w:r>
      <w:r>
        <w:t>(pending).</w:t>
      </w:r>
    </w:p>
  </w:footnote>
  <w:footnote w:id="33">
    <w:p w14:paraId="4FFD46CD" w14:textId="77777777" w:rsidR="00E34FF4" w:rsidRDefault="0071422C" w:rsidP="00321895">
      <w:pPr>
        <w:pStyle w:val="FootnoteText"/>
        <w:jc w:val="both"/>
      </w:pPr>
      <w:r>
        <w:rPr>
          <w:rStyle w:val="FootnoteReference"/>
        </w:rPr>
        <w:footnoteRef/>
      </w:r>
      <w:r>
        <w:t xml:space="preserve"> </w:t>
      </w:r>
      <w:r>
        <w:rPr>
          <w:i/>
          <w:iCs/>
        </w:rPr>
        <w:t xml:space="preserve">Application of CSWR-Texas Utility Operating Company, LLC and Cody and Anita Lewis dba Cassie Water Company for Sale, Transfer, or Merger of Facilities and Certificate Rights in Burnet County, </w:t>
      </w:r>
      <w:r>
        <w:rPr>
          <w:iCs/>
        </w:rPr>
        <w:t xml:space="preserve">Docket No. 53259 </w:t>
      </w:r>
      <w:r>
        <w:t>(pending).</w:t>
      </w:r>
    </w:p>
  </w:footnote>
  <w:footnote w:id="34">
    <w:p w14:paraId="4FFD46CE" w14:textId="77777777" w:rsidR="00E34FF4" w:rsidRDefault="0071422C" w:rsidP="00321895">
      <w:pPr>
        <w:pStyle w:val="Default"/>
        <w:spacing w:after="120"/>
        <w:ind w:firstLine="720"/>
        <w:jc w:val="both"/>
        <w:rPr>
          <w:rFonts w:ascii="Times New Roman" w:hAnsi="Times New Roman" w:cs="Times New Roman"/>
          <w:color w:val="auto"/>
          <w:sz w:val="20"/>
          <w:szCs w:val="20"/>
        </w:rPr>
      </w:pPr>
      <w:r>
        <w:rPr>
          <w:rStyle w:val="FootnoteReference"/>
          <w:rFonts w:ascii="Times New Roman" w:hAnsi="Times New Roman" w:cs="Times New Roman"/>
          <w:sz w:val="20"/>
          <w:szCs w:val="20"/>
        </w:rPr>
        <w:footnoteRef/>
      </w:r>
      <w:r>
        <w:rPr>
          <w:rFonts w:ascii="Times New Roman" w:hAnsi="Times New Roman" w:cs="Times New Roman"/>
          <w:sz w:val="20"/>
          <w:szCs w:val="20"/>
        </w:rPr>
        <w:t xml:space="preserve"> </w:t>
      </w:r>
      <w:r>
        <w:rPr>
          <w:rFonts w:ascii="Times New Roman" w:hAnsi="Times New Roman" w:cs="Times New Roman"/>
          <w:i/>
          <w:iCs/>
          <w:color w:val="auto"/>
          <w:sz w:val="20"/>
          <w:szCs w:val="20"/>
        </w:rPr>
        <w:t xml:space="preserve">Application of CSWR-Texas Utility Operating Company, LLC and Jusryn Company, Inc. dba Shady Grove Sewer System for Sale, Transfer, or Merger of Facilities and Certificate Rights in Hood County, </w:t>
      </w:r>
      <w:r>
        <w:rPr>
          <w:rFonts w:ascii="Times New Roman" w:hAnsi="Times New Roman" w:cs="Times New Roman"/>
          <w:iCs/>
          <w:color w:val="auto"/>
          <w:sz w:val="20"/>
          <w:szCs w:val="20"/>
        </w:rPr>
        <w:t xml:space="preserve">Docket No. 53317 </w:t>
      </w:r>
      <w:r>
        <w:rPr>
          <w:rFonts w:ascii="Times New Roman" w:hAnsi="Times New Roman" w:cs="Times New Roman"/>
          <w:color w:val="auto"/>
          <w:sz w:val="20"/>
          <w:szCs w:val="20"/>
        </w:rPr>
        <w:t>(pending).</w:t>
      </w:r>
    </w:p>
  </w:footnote>
  <w:footnote w:id="35">
    <w:p w14:paraId="4FFD46CF" w14:textId="77777777" w:rsidR="00E34FF4" w:rsidRDefault="0071422C" w:rsidP="00321895">
      <w:pPr>
        <w:pStyle w:val="FootnoteText"/>
        <w:jc w:val="both"/>
      </w:pPr>
      <w:r>
        <w:rPr>
          <w:rStyle w:val="FootnoteReference"/>
        </w:rPr>
        <w:footnoteRef/>
      </w:r>
      <w:r>
        <w:t xml:space="preserve"> </w:t>
      </w:r>
      <w:r>
        <w:rPr>
          <w:i/>
          <w:iCs/>
        </w:rPr>
        <w:t xml:space="preserve">Application of CSWR-Texas Utility Operating Company, LLC and Aransas Bay Utilities Co., LLC for Sale, Transfer, or Merger of Facilities and Certificate Rights in Aransas County, </w:t>
      </w:r>
      <w:r>
        <w:rPr>
          <w:iCs/>
        </w:rPr>
        <w:t>Docket No. 53316 (pending).</w:t>
      </w:r>
    </w:p>
  </w:footnote>
  <w:footnote w:id="36">
    <w:p w14:paraId="4FFD46D0" w14:textId="77777777" w:rsidR="00E34FF4" w:rsidRDefault="0071422C" w:rsidP="00321895">
      <w:pPr>
        <w:pStyle w:val="FootnoteText"/>
        <w:jc w:val="both"/>
      </w:pPr>
      <w:r>
        <w:rPr>
          <w:rStyle w:val="FootnoteReference"/>
        </w:rPr>
        <w:footnoteRef/>
      </w:r>
      <w:r>
        <w:t xml:space="preserve"> </w:t>
      </w:r>
      <w:r>
        <w:rPr>
          <w:i/>
          <w:iCs/>
        </w:rPr>
        <w:t xml:space="preserve">Application of CSWR-Texas Utility Operating Company LLC and Deer Springs Water Company for Sale, Transfer, or Merger of Facilities and Certificate Rights in Burnet County, </w:t>
      </w:r>
      <w:r>
        <w:t>Docket No. 53429 (pending).</w:t>
      </w:r>
    </w:p>
  </w:footnote>
  <w:footnote w:id="37">
    <w:p w14:paraId="4FFD46D1" w14:textId="77777777" w:rsidR="00E34FF4" w:rsidRDefault="0071422C" w:rsidP="00321895">
      <w:pPr>
        <w:pStyle w:val="FootnoteText"/>
        <w:jc w:val="both"/>
      </w:pPr>
      <w:r>
        <w:rPr>
          <w:rStyle w:val="FootnoteReference"/>
        </w:rPr>
        <w:footnoteRef/>
      </w:r>
      <w:r>
        <w:t xml:space="preserve"> </w:t>
      </w:r>
      <w:r>
        <w:rPr>
          <w:i/>
          <w:iCs/>
        </w:rPr>
        <w:t xml:space="preserve">Application of CSWR-Texas Utility Operating Company, LLC and Water Works I and II for Sale, Transfer, or Merger of Facilities and Certificate Rights in Llano County, </w:t>
      </w:r>
      <w:r>
        <w:rPr>
          <w:iCs/>
        </w:rPr>
        <w:t>Docket No. 53430 (pending).</w:t>
      </w:r>
    </w:p>
  </w:footnote>
  <w:footnote w:id="38">
    <w:p w14:paraId="4FFD46D2" w14:textId="77777777" w:rsidR="00E34FF4" w:rsidRDefault="0071422C" w:rsidP="00321895">
      <w:pPr>
        <w:pStyle w:val="FootnoteText"/>
        <w:jc w:val="both"/>
      </w:pPr>
      <w:r>
        <w:rPr>
          <w:rStyle w:val="FootnoteReference"/>
        </w:rPr>
        <w:footnoteRef/>
      </w:r>
      <w:r>
        <w:t xml:space="preserve"> </w:t>
      </w:r>
      <w:r>
        <w:rPr>
          <w:i/>
          <w:iCs/>
        </w:rPr>
        <w:t xml:space="preserve">Application of CSWR-Texas Utility Operating Company LLC, LLC and Lake Limestone Coves Water System, Inc. for Sale, Transfer, or Merger of Facilities and Certificate Rights in Limestone and Robertson Counties, </w:t>
      </w:r>
      <w:r>
        <w:t>Docket No. 53456 (pending).</w:t>
      </w:r>
    </w:p>
  </w:footnote>
  <w:footnote w:id="39">
    <w:p w14:paraId="4FFD46D3" w14:textId="77777777" w:rsidR="00E34FF4" w:rsidRDefault="0071422C" w:rsidP="00321895">
      <w:pPr>
        <w:pStyle w:val="FootnoteText"/>
        <w:spacing w:after="240"/>
        <w:jc w:val="both"/>
      </w:pPr>
      <w:r>
        <w:rPr>
          <w:rStyle w:val="FootnoteReference"/>
        </w:rPr>
        <w:footnoteRef/>
      </w:r>
      <w:r>
        <w:t xml:space="preserve"> </w:t>
      </w:r>
      <w:r>
        <w:rPr>
          <w:i/>
          <w:iCs/>
        </w:rPr>
        <w:t xml:space="preserve">Application of Chaparral Water System and CSWR-Texas Utility Operating Company, LLC for Sale, Transfer, or Merger of Facilities and Certificate Rights in Gillespie County, </w:t>
      </w:r>
      <w:r>
        <w:rPr>
          <w:iCs/>
        </w:rPr>
        <w:t>Docket No. 53601 (pending).</w:t>
      </w:r>
    </w:p>
  </w:footnote>
  <w:footnote w:id="40">
    <w:p w14:paraId="4FFD46D4" w14:textId="77777777" w:rsidR="00E34FF4" w:rsidRDefault="0071422C">
      <w:pPr>
        <w:pStyle w:val="FootnoteText"/>
        <w:rPr>
          <w:sz w:val="22"/>
          <w:szCs w:val="22"/>
        </w:rPr>
      </w:pPr>
      <w:r>
        <w:rPr>
          <w:rStyle w:val="FootnoteReference"/>
          <w:sz w:val="22"/>
          <w:szCs w:val="22"/>
        </w:rPr>
        <w:footnoteRef/>
      </w:r>
      <w:r>
        <w:rPr>
          <w:sz w:val="22"/>
          <w:szCs w:val="22"/>
        </w:rPr>
        <w:t xml:space="preserve"> </w:t>
      </w:r>
      <w:r>
        <w:t>Tex. Gov’t Code §§ 2001.001-.903.</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FD46AC" w14:textId="77777777" w:rsidR="00E34FF4" w:rsidRDefault="0071422C">
    <w:pPr>
      <w:pStyle w:val="Header"/>
      <w:tabs>
        <w:tab w:val="clear" w:pos="4680"/>
        <w:tab w:val="center" w:pos="4860"/>
      </w:tabs>
    </w:pPr>
    <w:r>
      <w:t>Docket No. 53483</w:t>
    </w:r>
    <w:r>
      <w:tab/>
      <w:t>Notice of Approval</w:t>
    </w:r>
    <w:r>
      <w:tab/>
      <w:t xml:space="preserve">Page </w:t>
    </w:r>
    <w:r>
      <w:fldChar w:fldCharType="begin"/>
    </w:r>
    <w:r>
      <w:instrText xml:space="preserve"> PAGE   \* MERGEFORMAT </w:instrText>
    </w:r>
    <w:r>
      <w:fldChar w:fldCharType="separate"/>
    </w:r>
    <w:r>
      <w:rPr>
        <w:noProof/>
      </w:rPr>
      <w:t>6</w:t>
    </w:r>
    <w:r>
      <w:fldChar w:fldCharType="end"/>
    </w:r>
    <w:r>
      <w:t xml:space="preserve"> of </w:t>
    </w:r>
    <w:r>
      <w:rPr>
        <w:noProof/>
      </w:rPr>
      <w:fldChar w:fldCharType="begin"/>
    </w:r>
    <w:r>
      <w:rPr>
        <w:noProof/>
      </w:rPr>
      <w:instrText xml:space="preserve"> NUMPAGES   \* MERGEFORMAT </w:instrText>
    </w:r>
    <w:r>
      <w:rPr>
        <w:noProof/>
      </w:rPr>
      <w:fldChar w:fldCharType="separate"/>
    </w:r>
    <w:r>
      <w:rPr>
        <w:noProof/>
      </w:rPr>
      <w:t>6</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8F3D5E"/>
    <w:multiLevelType w:val="multilevel"/>
    <w:tmpl w:val="DEBA0E62"/>
    <w:lvl w:ilvl="0">
      <w:start w:val="1"/>
      <w:numFmt w:val="decimal"/>
      <w:pStyle w:val="FOFNumbered"/>
      <w:lvlText w:val="%1."/>
      <w:lvlJc w:val="left"/>
      <w:pPr>
        <w:tabs>
          <w:tab w:val="num" w:pos="1170"/>
        </w:tabs>
        <w:ind w:left="1170" w:hanging="720"/>
      </w:pPr>
      <w:rPr>
        <w:b w:val="0"/>
        <w:bCs/>
        <w:i w:val="0"/>
        <w:iCs w:val="0"/>
        <w:u w:val="none"/>
      </w:r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1" w15:restartNumberingAfterBreak="0">
    <w:nsid w:val="0CC17D41"/>
    <w:multiLevelType w:val="hybridMultilevel"/>
    <w:tmpl w:val="E17AB40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22321A58"/>
    <w:multiLevelType w:val="hybridMultilevel"/>
    <w:tmpl w:val="37E4A2DA"/>
    <w:lvl w:ilvl="0" w:tplc="50A650E8">
      <w:start w:val="2"/>
      <w:numFmt w:val="upperRoman"/>
      <w:pStyle w:val="OrderingParagraph"/>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4AE347E"/>
    <w:multiLevelType w:val="multilevel"/>
    <w:tmpl w:val="ADFAF022"/>
    <w:lvl w:ilvl="0">
      <w:start w:val="1"/>
      <w:numFmt w:val="upperRoman"/>
      <w:pStyle w:val="Heading1"/>
      <w:lvlText w:val="%1."/>
      <w:lvlJc w:val="center"/>
      <w:pPr>
        <w:tabs>
          <w:tab w:val="num" w:pos="360"/>
        </w:tabs>
        <w:ind w:left="0" w:firstLine="0"/>
      </w:pPr>
      <w:rPr>
        <w:rFonts w:ascii="Times New Roman" w:hAnsi="Times New Roman" w:hint="default"/>
        <w:b/>
        <w:i w:val="0"/>
        <w:sz w:val="24"/>
      </w:rPr>
    </w:lvl>
    <w:lvl w:ilvl="1">
      <w:start w:val="1"/>
      <w:numFmt w:val="upperLetter"/>
      <w:pStyle w:val="Heading2"/>
      <w:lvlText w:val="%2."/>
      <w:lvlJc w:val="center"/>
      <w:pPr>
        <w:tabs>
          <w:tab w:val="num" w:pos="360"/>
        </w:tabs>
        <w:ind w:left="0" w:firstLine="0"/>
      </w:pPr>
      <w:rPr>
        <w:rFonts w:hint="default"/>
      </w:rPr>
    </w:lvl>
    <w:lvl w:ilvl="2">
      <w:start w:val="1"/>
      <w:numFmt w:val="decimal"/>
      <w:pStyle w:val="Heading3"/>
      <w:lvlText w:val="%3."/>
      <w:lvlJc w:val="left"/>
      <w:pPr>
        <w:tabs>
          <w:tab w:val="num" w:pos="360"/>
        </w:tabs>
        <w:ind w:left="360" w:hanging="360"/>
      </w:pPr>
      <w:rPr>
        <w:rFonts w:hint="default"/>
      </w:rPr>
    </w:lvl>
    <w:lvl w:ilvl="3">
      <w:start w:val="1"/>
      <w:numFmt w:val="lowerLetter"/>
      <w:pStyle w:val="Heading4"/>
      <w:lvlText w:val="%4."/>
      <w:lvlJc w:val="left"/>
      <w:pPr>
        <w:tabs>
          <w:tab w:val="num" w:pos="360"/>
        </w:tabs>
        <w:ind w:left="360" w:hanging="360"/>
      </w:pPr>
      <w:rPr>
        <w:rFonts w:hint="default"/>
      </w:rPr>
    </w:lvl>
    <w:lvl w:ilvl="4">
      <w:start w:val="1"/>
      <w:numFmt w:val="lowerRoman"/>
      <w:pStyle w:val="Heading5"/>
      <w:lvlText w:val="(%5)"/>
      <w:lvlJc w:val="left"/>
      <w:pPr>
        <w:tabs>
          <w:tab w:val="num" w:pos="720"/>
        </w:tabs>
        <w:ind w:left="720" w:hanging="360"/>
      </w:pPr>
      <w:rPr>
        <w:rFonts w:hint="default"/>
      </w:rPr>
    </w:lvl>
    <w:lvl w:ilvl="5">
      <w:start w:val="1"/>
      <w:numFmt w:val="decimal"/>
      <w:pStyle w:val="Heading6"/>
      <w:lvlText w:val="(%6)"/>
      <w:lvlJc w:val="left"/>
      <w:pPr>
        <w:tabs>
          <w:tab w:val="num" w:pos="720"/>
        </w:tabs>
        <w:ind w:left="720" w:hanging="360"/>
      </w:pPr>
      <w:rPr>
        <w:rFonts w:hint="default"/>
      </w:rPr>
    </w:lvl>
    <w:lvl w:ilvl="6">
      <w:start w:val="1"/>
      <w:numFmt w:val="none"/>
      <w:pStyle w:val="Heading7"/>
      <w:suff w:val="nothing"/>
      <w:lvlText w:val="%7"/>
      <w:lvlJc w:val="left"/>
      <w:pPr>
        <w:ind w:left="0" w:firstLine="0"/>
      </w:pPr>
      <w:rPr>
        <w:rFonts w:hint="default"/>
      </w:rPr>
    </w:lvl>
    <w:lvl w:ilvl="7">
      <w:start w:val="1"/>
      <w:numFmt w:val="decimal"/>
      <w:lvlRestart w:val="3"/>
      <w:pStyle w:val="Heading8"/>
      <w:lvlText w:val="%8."/>
      <w:lvlJc w:val="left"/>
      <w:pPr>
        <w:tabs>
          <w:tab w:val="num" w:pos="360"/>
        </w:tabs>
        <w:ind w:left="0" w:firstLine="0"/>
      </w:pPr>
      <w:rPr>
        <w:rFonts w:hint="default"/>
      </w:rPr>
    </w:lvl>
    <w:lvl w:ilvl="8">
      <w:start w:val="1"/>
      <w:numFmt w:val="lowerLetter"/>
      <w:pStyle w:val="Heading9"/>
      <w:lvlText w:val="%9."/>
      <w:lvlJc w:val="left"/>
      <w:pPr>
        <w:tabs>
          <w:tab w:val="num" w:pos="360"/>
        </w:tabs>
        <w:ind w:left="0" w:firstLine="0"/>
      </w:pPr>
      <w:rPr>
        <w:rFonts w:hint="default"/>
      </w:rPr>
    </w:lvl>
  </w:abstractNum>
  <w:abstractNum w:abstractNumId="4" w15:restartNumberingAfterBreak="0">
    <w:nsid w:val="3AE10427"/>
    <w:multiLevelType w:val="multilevel"/>
    <w:tmpl w:val="4D066FBC"/>
    <w:lvl w:ilvl="0">
      <w:start w:val="1"/>
      <w:numFmt w:val="upperRoman"/>
      <w:pStyle w:val="CROutline1"/>
      <w:lvlText w:val="%1."/>
      <w:lvlJc w:val="left"/>
      <w:pPr>
        <w:tabs>
          <w:tab w:val="num" w:pos="1152"/>
        </w:tabs>
        <w:ind w:left="1152" w:hanging="720"/>
      </w:pPr>
      <w:rPr>
        <w:rFonts w:hint="default"/>
      </w:rPr>
    </w:lvl>
    <w:lvl w:ilvl="1">
      <w:start w:val="1"/>
      <w:numFmt w:val="upperLetter"/>
      <w:pStyle w:val="CROutline2"/>
      <w:lvlText w:val="%2."/>
      <w:lvlJc w:val="left"/>
      <w:pPr>
        <w:tabs>
          <w:tab w:val="num" w:pos="1152"/>
        </w:tabs>
        <w:ind w:left="1872" w:hanging="720"/>
      </w:pPr>
      <w:rPr>
        <w:rFonts w:hint="default"/>
      </w:rPr>
    </w:lvl>
    <w:lvl w:ilvl="2">
      <w:start w:val="1"/>
      <w:numFmt w:val="decimal"/>
      <w:pStyle w:val="CROutline3"/>
      <w:lvlText w:val="%3."/>
      <w:lvlJc w:val="left"/>
      <w:pPr>
        <w:tabs>
          <w:tab w:val="num" w:pos="1152"/>
        </w:tabs>
        <w:ind w:left="2592" w:hanging="720"/>
      </w:pPr>
      <w:rPr>
        <w:rFonts w:hint="default"/>
      </w:rPr>
    </w:lvl>
    <w:lvl w:ilvl="3">
      <w:start w:val="1"/>
      <w:numFmt w:val="lowerLetter"/>
      <w:lvlText w:val="%4."/>
      <w:lvlJc w:val="left"/>
      <w:pPr>
        <w:tabs>
          <w:tab w:val="num" w:pos="1152"/>
        </w:tabs>
        <w:ind w:left="3312" w:hanging="720"/>
      </w:pPr>
      <w:rPr>
        <w:rFonts w:hint="default"/>
      </w:rPr>
    </w:lvl>
    <w:lvl w:ilvl="4">
      <w:start w:val="1"/>
      <w:numFmt w:val="decimal"/>
      <w:lvlText w:val="(%5)"/>
      <w:lvlJc w:val="left"/>
      <w:pPr>
        <w:tabs>
          <w:tab w:val="num" w:pos="1152"/>
        </w:tabs>
        <w:ind w:left="4032" w:hanging="720"/>
      </w:pPr>
      <w:rPr>
        <w:rFonts w:hint="default"/>
      </w:rPr>
    </w:lvl>
    <w:lvl w:ilvl="5">
      <w:start w:val="1"/>
      <w:numFmt w:val="lowerLetter"/>
      <w:lvlText w:val="(%6)"/>
      <w:lvlJc w:val="left"/>
      <w:pPr>
        <w:tabs>
          <w:tab w:val="num" w:pos="1152"/>
        </w:tabs>
        <w:ind w:left="4752" w:hanging="720"/>
      </w:pPr>
      <w:rPr>
        <w:rFonts w:hint="default"/>
      </w:rPr>
    </w:lvl>
    <w:lvl w:ilvl="6">
      <w:start w:val="1"/>
      <w:numFmt w:val="lowerRoman"/>
      <w:lvlText w:val="%7)"/>
      <w:lvlJc w:val="left"/>
      <w:pPr>
        <w:tabs>
          <w:tab w:val="num" w:pos="1152"/>
        </w:tabs>
        <w:ind w:left="5472" w:hanging="720"/>
      </w:pPr>
      <w:rPr>
        <w:rFonts w:hint="default"/>
      </w:rPr>
    </w:lvl>
    <w:lvl w:ilvl="7">
      <w:start w:val="1"/>
      <w:numFmt w:val="lowerLetter"/>
      <w:lvlText w:val="%8)"/>
      <w:lvlJc w:val="left"/>
      <w:pPr>
        <w:tabs>
          <w:tab w:val="num" w:pos="1152"/>
        </w:tabs>
        <w:ind w:left="6192" w:hanging="720"/>
      </w:pPr>
      <w:rPr>
        <w:rFonts w:hint="default"/>
      </w:rPr>
    </w:lvl>
    <w:lvl w:ilvl="8">
      <w:start w:val="1"/>
      <w:numFmt w:val="decimal"/>
      <w:lvlText w:val="%9)"/>
      <w:lvlJc w:val="left"/>
      <w:pPr>
        <w:tabs>
          <w:tab w:val="num" w:pos="1152"/>
        </w:tabs>
        <w:ind w:left="6912" w:hanging="720"/>
      </w:pPr>
      <w:rPr>
        <w:rFonts w:hint="default"/>
      </w:rPr>
    </w:lvl>
  </w:abstractNum>
  <w:abstractNum w:abstractNumId="5" w15:restartNumberingAfterBreak="0">
    <w:nsid w:val="3E032CFD"/>
    <w:multiLevelType w:val="hybridMultilevel"/>
    <w:tmpl w:val="E17AB40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666B6E08"/>
    <w:multiLevelType w:val="hybridMultilevel"/>
    <w:tmpl w:val="0C4E73D2"/>
    <w:lvl w:ilvl="0" w:tplc="F1C242D8">
      <w:start w:val="1"/>
      <w:numFmt w:val="decimal"/>
      <w:pStyle w:val="COLNumbered"/>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7BE43BC"/>
    <w:multiLevelType w:val="hybridMultilevel"/>
    <w:tmpl w:val="A9547420"/>
    <w:lvl w:ilvl="0" w:tplc="707E1250">
      <w:start w:val="1"/>
      <w:numFmt w:val="decimal"/>
      <w:lvlText w:val="%1."/>
      <w:lvlJc w:val="left"/>
      <w:pPr>
        <w:ind w:left="820" w:hanging="720"/>
      </w:pPr>
      <w:rPr>
        <w:rFonts w:ascii="Times New Roman" w:eastAsia="Times New Roman" w:hAnsi="Times New Roman" w:hint="default"/>
        <w:b w:val="0"/>
        <w:bCs/>
        <w:i w:val="0"/>
        <w:iCs/>
        <w:sz w:val="24"/>
        <w:szCs w:val="24"/>
      </w:rPr>
    </w:lvl>
    <w:lvl w:ilvl="1" w:tplc="B3208934">
      <w:start w:val="1"/>
      <w:numFmt w:val="lowerLetter"/>
      <w:lvlText w:val="(%2)"/>
      <w:lvlJc w:val="left"/>
      <w:pPr>
        <w:ind w:left="820" w:hanging="324"/>
      </w:pPr>
      <w:rPr>
        <w:rFonts w:ascii="Times New Roman" w:eastAsia="Times New Roman" w:hAnsi="Times New Roman" w:hint="default"/>
        <w:spacing w:val="-1"/>
        <w:sz w:val="24"/>
        <w:szCs w:val="24"/>
      </w:rPr>
    </w:lvl>
    <w:lvl w:ilvl="2" w:tplc="1F240D50">
      <w:start w:val="1"/>
      <w:numFmt w:val="bullet"/>
      <w:lvlText w:val="•"/>
      <w:lvlJc w:val="left"/>
      <w:pPr>
        <w:ind w:left="1811" w:hanging="324"/>
      </w:pPr>
      <w:rPr>
        <w:rFonts w:hint="default"/>
      </w:rPr>
    </w:lvl>
    <w:lvl w:ilvl="3" w:tplc="2CFC4070">
      <w:start w:val="1"/>
      <w:numFmt w:val="bullet"/>
      <w:lvlText w:val="•"/>
      <w:lvlJc w:val="left"/>
      <w:pPr>
        <w:ind w:left="2782" w:hanging="324"/>
      </w:pPr>
      <w:rPr>
        <w:rFonts w:hint="default"/>
      </w:rPr>
    </w:lvl>
    <w:lvl w:ilvl="4" w:tplc="7632D852">
      <w:start w:val="1"/>
      <w:numFmt w:val="bullet"/>
      <w:lvlText w:val="•"/>
      <w:lvlJc w:val="left"/>
      <w:pPr>
        <w:ind w:left="3753" w:hanging="324"/>
      </w:pPr>
      <w:rPr>
        <w:rFonts w:hint="default"/>
      </w:rPr>
    </w:lvl>
    <w:lvl w:ilvl="5" w:tplc="6388B05E">
      <w:start w:val="1"/>
      <w:numFmt w:val="bullet"/>
      <w:lvlText w:val="•"/>
      <w:lvlJc w:val="left"/>
      <w:pPr>
        <w:ind w:left="4724" w:hanging="324"/>
      </w:pPr>
      <w:rPr>
        <w:rFonts w:hint="default"/>
      </w:rPr>
    </w:lvl>
    <w:lvl w:ilvl="6" w:tplc="8618EEF6">
      <w:start w:val="1"/>
      <w:numFmt w:val="bullet"/>
      <w:lvlText w:val="•"/>
      <w:lvlJc w:val="left"/>
      <w:pPr>
        <w:ind w:left="5695" w:hanging="324"/>
      </w:pPr>
      <w:rPr>
        <w:rFonts w:hint="default"/>
      </w:rPr>
    </w:lvl>
    <w:lvl w:ilvl="7" w:tplc="01546CBC">
      <w:start w:val="1"/>
      <w:numFmt w:val="bullet"/>
      <w:lvlText w:val="•"/>
      <w:lvlJc w:val="left"/>
      <w:pPr>
        <w:ind w:left="6666" w:hanging="324"/>
      </w:pPr>
      <w:rPr>
        <w:rFonts w:hint="default"/>
      </w:rPr>
    </w:lvl>
    <w:lvl w:ilvl="8" w:tplc="FEE2ED3A">
      <w:start w:val="1"/>
      <w:numFmt w:val="bullet"/>
      <w:lvlText w:val="•"/>
      <w:lvlJc w:val="left"/>
      <w:pPr>
        <w:ind w:left="7637" w:hanging="324"/>
      </w:pPr>
      <w:rPr>
        <w:rFonts w:hint="default"/>
      </w:rPr>
    </w:lvl>
  </w:abstractNum>
  <w:abstractNum w:abstractNumId="8" w15:restartNumberingAfterBreak="0">
    <w:nsid w:val="72FB4C03"/>
    <w:multiLevelType w:val="hybridMultilevel"/>
    <w:tmpl w:val="32D226C6"/>
    <w:lvl w:ilvl="0" w:tplc="F036E7D0">
      <w:start w:val="1"/>
      <w:numFmt w:val="decimal"/>
      <w:pStyle w:val="FoFs"/>
      <w:lvlText w:val="%1."/>
      <w:lvlJc w:val="left"/>
      <w:pPr>
        <w:ind w:left="720" w:hanging="360"/>
      </w:pPr>
      <w:rPr>
        <w:rFonts w:hint="default"/>
        <w:b w:val="0"/>
        <w:b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3"/>
  </w:num>
  <w:num w:numId="3">
    <w:abstractNumId w:val="6"/>
  </w:num>
  <w:num w:numId="4">
    <w:abstractNumId w:val="7"/>
  </w:num>
  <w:num w:numId="5">
    <w:abstractNumId w:val="8"/>
  </w:num>
  <w:num w:numId="6">
    <w:abstractNumId w:val="4"/>
  </w:num>
  <w:num w:numId="7">
    <w:abstractNumId w:val="2"/>
  </w:num>
  <w:num w:numId="8">
    <w:abstractNumId w:val="1"/>
  </w:num>
  <w:num w:numId="9">
    <w:abstractNumId w:val="5"/>
  </w:num>
  <w:num w:numId="10">
    <w:abstractNumId w:val="8"/>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8"/>
  </w:num>
  <w:num w:numId="29">
    <w:abstractNumId w:val="8"/>
  </w:num>
  <w:num w:numId="30">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4FF4"/>
    <w:rsid w:val="0000452E"/>
    <w:rsid w:val="0002314F"/>
    <w:rsid w:val="000233D0"/>
    <w:rsid w:val="00042440"/>
    <w:rsid w:val="00092ABC"/>
    <w:rsid w:val="000C6FC5"/>
    <w:rsid w:val="0015164D"/>
    <w:rsid w:val="001770CB"/>
    <w:rsid w:val="001D7879"/>
    <w:rsid w:val="00217478"/>
    <w:rsid w:val="002452CD"/>
    <w:rsid w:val="002564BB"/>
    <w:rsid w:val="002B66C5"/>
    <w:rsid w:val="002C1EA2"/>
    <w:rsid w:val="002C5AA8"/>
    <w:rsid w:val="002F04C6"/>
    <w:rsid w:val="00321895"/>
    <w:rsid w:val="003667FA"/>
    <w:rsid w:val="003807C7"/>
    <w:rsid w:val="00390F1C"/>
    <w:rsid w:val="003E28BC"/>
    <w:rsid w:val="00430019"/>
    <w:rsid w:val="004A7BE4"/>
    <w:rsid w:val="004E5112"/>
    <w:rsid w:val="004F3BD8"/>
    <w:rsid w:val="005A5CB1"/>
    <w:rsid w:val="0060237C"/>
    <w:rsid w:val="00611ABF"/>
    <w:rsid w:val="00625FE4"/>
    <w:rsid w:val="00632575"/>
    <w:rsid w:val="00632C14"/>
    <w:rsid w:val="00686704"/>
    <w:rsid w:val="006975AF"/>
    <w:rsid w:val="006F026E"/>
    <w:rsid w:val="0071422C"/>
    <w:rsid w:val="007702F1"/>
    <w:rsid w:val="007761FC"/>
    <w:rsid w:val="00791F59"/>
    <w:rsid w:val="007A25CF"/>
    <w:rsid w:val="007B74F4"/>
    <w:rsid w:val="007E3169"/>
    <w:rsid w:val="0087626E"/>
    <w:rsid w:val="00880783"/>
    <w:rsid w:val="008932B8"/>
    <w:rsid w:val="008A53ED"/>
    <w:rsid w:val="008A68D0"/>
    <w:rsid w:val="008B044B"/>
    <w:rsid w:val="008B5E9E"/>
    <w:rsid w:val="008D6DBA"/>
    <w:rsid w:val="009376E4"/>
    <w:rsid w:val="00943157"/>
    <w:rsid w:val="0097134F"/>
    <w:rsid w:val="009F2B53"/>
    <w:rsid w:val="00A3064D"/>
    <w:rsid w:val="00A81BA9"/>
    <w:rsid w:val="00A90781"/>
    <w:rsid w:val="00AE07BE"/>
    <w:rsid w:val="00AE4A1B"/>
    <w:rsid w:val="00B0400A"/>
    <w:rsid w:val="00B1341A"/>
    <w:rsid w:val="00B33E69"/>
    <w:rsid w:val="00B544D4"/>
    <w:rsid w:val="00B80647"/>
    <w:rsid w:val="00B81D78"/>
    <w:rsid w:val="00BC1C94"/>
    <w:rsid w:val="00C05128"/>
    <w:rsid w:val="00CD7D4C"/>
    <w:rsid w:val="00CE64C7"/>
    <w:rsid w:val="00D0046E"/>
    <w:rsid w:val="00D40D3C"/>
    <w:rsid w:val="00DD6DEB"/>
    <w:rsid w:val="00E21C91"/>
    <w:rsid w:val="00E34FF4"/>
    <w:rsid w:val="00E363C5"/>
    <w:rsid w:val="00EC2C93"/>
    <w:rsid w:val="00EC327C"/>
    <w:rsid w:val="00ED325A"/>
    <w:rsid w:val="00EF2A8F"/>
    <w:rsid w:val="00F12BBA"/>
    <w:rsid w:val="00F22C86"/>
    <w:rsid w:val="00F2689D"/>
    <w:rsid w:val="00F5777E"/>
    <w:rsid w:val="00FA4C5B"/>
    <w:rsid w:val="00FC0753"/>
    <w:rsid w:val="00FC7236"/>
    <w:rsid w:val="00FF78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D461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sz w:val="24"/>
        <w:szCs w:val="24"/>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lsdException w:name="heading 5" w:semiHidden="1" w:uiPriority="0" w:unhideWhenUsed="1"/>
    <w:lsdException w:name="heading 6" w:semiHidden="1" w:uiPriority="0" w:unhideWhenUsed="1"/>
    <w:lsdException w:name="heading 7" w:semiHidden="1" w:uiPriority="0" w:unhideWhenUsed="1" w:qFormat="1"/>
    <w:lsdException w:name="heading 8" w:semiHidden="1" w:uiPriority="0" w:unhideWhenUsed="1"/>
    <w:lsdException w:name="heading 9" w:uiPriority="0"/>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semiHidden="1" w:unhideWhenUsed="1"/>
    <w:lsdException w:name="Body Text Indent 3" w:semiHidden="1" w:unhideWhenUsed="1"/>
    <w:lsdException w:name="Block Text" w:uiPriority="0"/>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pPr>
      <w:spacing w:after="0" w:line="240" w:lineRule="auto"/>
    </w:pPr>
  </w:style>
  <w:style w:type="paragraph" w:styleId="Heading1">
    <w:name w:val="heading 1"/>
    <w:basedOn w:val="Normal"/>
    <w:next w:val="BodyText"/>
    <w:link w:val="Heading1Char"/>
    <w:qFormat/>
    <w:pPr>
      <w:keepNext/>
      <w:keepLines/>
      <w:numPr>
        <w:numId w:val="2"/>
      </w:numPr>
      <w:spacing w:before="240" w:after="120"/>
      <w:jc w:val="center"/>
      <w:outlineLvl w:val="0"/>
    </w:pPr>
    <w:rPr>
      <w:rFonts w:eastAsiaTheme="majorEastAsia" w:cstheme="majorBidi"/>
      <w:b/>
      <w:szCs w:val="32"/>
    </w:rPr>
  </w:style>
  <w:style w:type="paragraph" w:styleId="Heading2">
    <w:name w:val="heading 2"/>
    <w:basedOn w:val="Normal"/>
    <w:next w:val="Normal"/>
    <w:link w:val="Heading2Char"/>
    <w:qFormat/>
    <w:pPr>
      <w:keepNext/>
      <w:keepLines/>
      <w:numPr>
        <w:ilvl w:val="1"/>
        <w:numId w:val="2"/>
      </w:numPr>
      <w:spacing w:before="120" w:after="120"/>
      <w:jc w:val="center"/>
      <w:outlineLvl w:val="1"/>
    </w:pPr>
    <w:rPr>
      <w:rFonts w:eastAsiaTheme="majorEastAsia" w:cstheme="majorBidi"/>
      <w:b/>
      <w:szCs w:val="26"/>
    </w:rPr>
  </w:style>
  <w:style w:type="paragraph" w:styleId="Heading3">
    <w:name w:val="heading 3"/>
    <w:basedOn w:val="Normal"/>
    <w:next w:val="BodyText"/>
    <w:link w:val="Heading3Char"/>
    <w:qFormat/>
    <w:pPr>
      <w:keepNext/>
      <w:keepLines/>
      <w:numPr>
        <w:ilvl w:val="2"/>
        <w:numId w:val="2"/>
      </w:numPr>
      <w:spacing w:before="120"/>
      <w:outlineLvl w:val="2"/>
    </w:pPr>
    <w:rPr>
      <w:rFonts w:eastAsiaTheme="majorEastAsia" w:cstheme="majorBidi"/>
      <w:b/>
    </w:rPr>
  </w:style>
  <w:style w:type="paragraph" w:styleId="Heading4">
    <w:name w:val="heading 4"/>
    <w:basedOn w:val="Normal"/>
    <w:next w:val="BodyText"/>
    <w:link w:val="Heading4Char"/>
    <w:pPr>
      <w:keepNext/>
      <w:keepLines/>
      <w:numPr>
        <w:ilvl w:val="3"/>
        <w:numId w:val="2"/>
      </w:numPr>
      <w:spacing w:before="120"/>
      <w:outlineLvl w:val="3"/>
    </w:pPr>
    <w:rPr>
      <w:rFonts w:eastAsiaTheme="majorEastAsia" w:cstheme="majorBidi"/>
      <w:b/>
      <w:iCs/>
    </w:rPr>
  </w:style>
  <w:style w:type="paragraph" w:styleId="Heading5">
    <w:name w:val="heading 5"/>
    <w:basedOn w:val="Normal"/>
    <w:next w:val="BodyText"/>
    <w:link w:val="Heading5Char"/>
    <w:pPr>
      <w:keepNext/>
      <w:keepLines/>
      <w:numPr>
        <w:ilvl w:val="4"/>
        <w:numId w:val="2"/>
      </w:numPr>
      <w:spacing w:before="120"/>
      <w:outlineLvl w:val="4"/>
    </w:pPr>
    <w:rPr>
      <w:rFonts w:eastAsiaTheme="majorEastAsia" w:cstheme="majorBidi"/>
      <w:b/>
    </w:rPr>
  </w:style>
  <w:style w:type="paragraph" w:styleId="Heading6">
    <w:name w:val="heading 6"/>
    <w:basedOn w:val="Normal"/>
    <w:next w:val="BodyText"/>
    <w:link w:val="Heading6Char"/>
    <w:pPr>
      <w:keepNext/>
      <w:keepLines/>
      <w:numPr>
        <w:ilvl w:val="5"/>
        <w:numId w:val="2"/>
      </w:numPr>
      <w:spacing w:before="120"/>
      <w:outlineLvl w:val="5"/>
    </w:pPr>
    <w:rPr>
      <w:rFonts w:eastAsiaTheme="majorEastAsia" w:cstheme="majorBidi"/>
      <w:b/>
    </w:rPr>
  </w:style>
  <w:style w:type="paragraph" w:styleId="Heading7">
    <w:name w:val="heading 7"/>
    <w:basedOn w:val="Normal"/>
    <w:next w:val="FOFNumbered"/>
    <w:link w:val="Heading7Char"/>
    <w:qFormat/>
    <w:pPr>
      <w:keepNext/>
      <w:keepLines/>
      <w:numPr>
        <w:ilvl w:val="6"/>
        <w:numId w:val="2"/>
      </w:numPr>
      <w:spacing w:before="120"/>
      <w:outlineLvl w:val="6"/>
    </w:pPr>
    <w:rPr>
      <w:rFonts w:eastAsiaTheme="majorEastAsia" w:cstheme="majorBidi"/>
      <w:b/>
      <w:i/>
      <w:iCs/>
      <w:u w:val="single"/>
    </w:rPr>
  </w:style>
  <w:style w:type="paragraph" w:styleId="Heading8">
    <w:name w:val="heading 8"/>
    <w:basedOn w:val="Normal"/>
    <w:next w:val="Heading9"/>
    <w:link w:val="Heading8Char"/>
    <w:pPr>
      <w:keepNext/>
      <w:keepLines/>
      <w:numPr>
        <w:ilvl w:val="7"/>
        <w:numId w:val="2"/>
      </w:numPr>
      <w:spacing w:before="120"/>
      <w:outlineLvl w:val="7"/>
    </w:pPr>
    <w:rPr>
      <w:rFonts w:eastAsiaTheme="majorEastAsia" w:cstheme="majorBidi"/>
      <w:b/>
      <w:i/>
      <w:szCs w:val="21"/>
      <w:u w:val="single"/>
    </w:rPr>
  </w:style>
  <w:style w:type="paragraph" w:styleId="Heading9">
    <w:name w:val="heading 9"/>
    <w:basedOn w:val="Normal"/>
    <w:next w:val="FOFNumbered"/>
    <w:link w:val="Heading9Char"/>
    <w:pPr>
      <w:keepNext/>
      <w:keepLines/>
      <w:numPr>
        <w:ilvl w:val="8"/>
        <w:numId w:val="2"/>
      </w:numPr>
      <w:spacing w:before="120"/>
      <w:outlineLvl w:val="8"/>
    </w:pPr>
    <w:rPr>
      <w:rFonts w:eastAsiaTheme="majorEastAsia" w:cstheme="majorBidi"/>
      <w:b/>
      <w:i/>
      <w:iCs/>
      <w:szCs w:val="21"/>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ketnumber">
    <w:name w:val="Docketnumber"/>
    <w:basedOn w:val="Normal"/>
    <w:link w:val="DocketnumberChar"/>
    <w:uiPriority w:val="3"/>
    <w:pPr>
      <w:spacing w:after="480"/>
      <w:jc w:val="center"/>
    </w:pPr>
    <w:rPr>
      <w:b/>
    </w:rPr>
  </w:style>
  <w:style w:type="table" w:styleId="TableGrid">
    <w:name w:val="Table Grid"/>
    <w:basedOn w:val="Table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ketnumberChar">
    <w:name w:val="Docketnumber Char"/>
    <w:basedOn w:val="DefaultParagraphFont"/>
    <w:link w:val="Docketnumber"/>
    <w:uiPriority w:val="3"/>
    <w:rPr>
      <w:b/>
    </w:rPr>
  </w:style>
  <w:style w:type="paragraph" w:customStyle="1" w:styleId="Docketstyle">
    <w:name w:val="Docketstyle"/>
    <w:basedOn w:val="Normal"/>
    <w:uiPriority w:val="3"/>
    <w:rPr>
      <w:b/>
    </w:rPr>
  </w:style>
  <w:style w:type="paragraph" w:customStyle="1" w:styleId="DocketstylePUC">
    <w:name w:val="DocketstylePUC"/>
    <w:basedOn w:val="Docketstyle"/>
    <w:uiPriority w:val="3"/>
    <w:pPr>
      <w:jc w:val="center"/>
    </w:pPr>
  </w:style>
  <w:style w:type="paragraph" w:customStyle="1" w:styleId="Titleoforder">
    <w:name w:val="Titleoforder"/>
    <w:basedOn w:val="Docketnumber"/>
    <w:link w:val="TitleoforderChar"/>
    <w:uiPriority w:val="3"/>
    <w:pPr>
      <w:spacing w:before="480" w:after="360"/>
    </w:pPr>
  </w:style>
  <w:style w:type="paragraph" w:styleId="BodyText">
    <w:name w:val="Body Text"/>
    <w:basedOn w:val="Normal"/>
    <w:link w:val="BodyTextChar"/>
    <w:qFormat/>
    <w:pPr>
      <w:spacing w:before="120" w:line="360" w:lineRule="auto"/>
      <w:ind w:firstLine="720"/>
      <w:jc w:val="both"/>
    </w:pPr>
  </w:style>
  <w:style w:type="character" w:customStyle="1" w:styleId="TitleoforderChar">
    <w:name w:val="Titleoforder Char"/>
    <w:basedOn w:val="DocketnumberChar"/>
    <w:link w:val="Titleoforder"/>
    <w:uiPriority w:val="3"/>
    <w:rPr>
      <w:b/>
    </w:rPr>
  </w:style>
  <w:style w:type="character" w:customStyle="1" w:styleId="BodyTextChar">
    <w:name w:val="Body Text Char"/>
    <w:basedOn w:val="DefaultParagraphFont"/>
    <w:link w:val="BodyText"/>
  </w:style>
  <w:style w:type="character" w:customStyle="1" w:styleId="Heading1Char">
    <w:name w:val="Heading 1 Char"/>
    <w:basedOn w:val="DefaultParagraphFont"/>
    <w:link w:val="Heading1"/>
    <w:rPr>
      <w:rFonts w:eastAsiaTheme="majorEastAsia" w:cstheme="majorBidi"/>
      <w:b/>
      <w:szCs w:val="32"/>
    </w:rPr>
  </w:style>
  <w:style w:type="character" w:customStyle="1" w:styleId="Heading2Char">
    <w:name w:val="Heading 2 Char"/>
    <w:basedOn w:val="DefaultParagraphFont"/>
    <w:link w:val="Heading2"/>
    <w:rPr>
      <w:rFonts w:eastAsiaTheme="majorEastAsia" w:cstheme="majorBidi"/>
      <w:b/>
      <w:szCs w:val="26"/>
    </w:rPr>
  </w:style>
  <w:style w:type="character" w:customStyle="1" w:styleId="Heading3Char">
    <w:name w:val="Heading 3 Char"/>
    <w:basedOn w:val="DefaultParagraphFont"/>
    <w:link w:val="Heading3"/>
    <w:rPr>
      <w:rFonts w:eastAsiaTheme="majorEastAsia" w:cstheme="majorBidi"/>
      <w:b/>
    </w:rPr>
  </w:style>
  <w:style w:type="character" w:customStyle="1" w:styleId="Heading4Char">
    <w:name w:val="Heading 4 Char"/>
    <w:basedOn w:val="DefaultParagraphFont"/>
    <w:link w:val="Heading4"/>
    <w:rPr>
      <w:rFonts w:eastAsiaTheme="majorEastAsia" w:cstheme="majorBidi"/>
      <w:b/>
      <w:iCs/>
    </w:rPr>
  </w:style>
  <w:style w:type="character" w:customStyle="1" w:styleId="Heading5Char">
    <w:name w:val="Heading 5 Char"/>
    <w:basedOn w:val="DefaultParagraphFont"/>
    <w:link w:val="Heading5"/>
    <w:rPr>
      <w:rFonts w:eastAsiaTheme="majorEastAsia" w:cstheme="majorBidi"/>
      <w:b/>
    </w:rPr>
  </w:style>
  <w:style w:type="character" w:customStyle="1" w:styleId="Heading6Char">
    <w:name w:val="Heading 6 Char"/>
    <w:basedOn w:val="DefaultParagraphFont"/>
    <w:link w:val="Heading6"/>
    <w:rPr>
      <w:rFonts w:eastAsiaTheme="majorEastAsia" w:cstheme="majorBidi"/>
      <w:b/>
    </w:rPr>
  </w:style>
  <w:style w:type="character" w:customStyle="1" w:styleId="Heading7Char">
    <w:name w:val="Heading 7 Char"/>
    <w:basedOn w:val="DefaultParagraphFont"/>
    <w:link w:val="Heading7"/>
    <w:rPr>
      <w:rFonts w:eastAsiaTheme="majorEastAsia" w:cstheme="majorBidi"/>
      <w:b/>
      <w:i/>
      <w:iCs/>
      <w:u w:val="single"/>
    </w:rPr>
  </w:style>
  <w:style w:type="character" w:customStyle="1" w:styleId="Heading8Char">
    <w:name w:val="Heading 8 Char"/>
    <w:basedOn w:val="DefaultParagraphFont"/>
    <w:link w:val="Heading8"/>
    <w:rPr>
      <w:rFonts w:eastAsiaTheme="majorEastAsia" w:cstheme="majorBidi"/>
      <w:b/>
      <w:i/>
      <w:szCs w:val="21"/>
      <w:u w:val="single"/>
    </w:rPr>
  </w:style>
  <w:style w:type="paragraph" w:customStyle="1" w:styleId="FOFCOL">
    <w:name w:val="FOF/COL"/>
    <w:basedOn w:val="BodyText"/>
    <w:link w:val="FOFCOLChar"/>
    <w:uiPriority w:val="2"/>
    <w:qFormat/>
    <w:pPr>
      <w:ind w:left="720" w:hanging="720"/>
    </w:pPr>
    <w:rPr>
      <w:rFonts w:eastAsia="Times New Roman"/>
      <w:snapToGrid w:val="0"/>
      <w:szCs w:val="20"/>
    </w:rPr>
  </w:style>
  <w:style w:type="paragraph" w:customStyle="1" w:styleId="FOFNumbered">
    <w:name w:val="FOF Numbered"/>
    <w:basedOn w:val="FOFCOL"/>
    <w:link w:val="FOFNumberedChar"/>
    <w:uiPriority w:val="2"/>
    <w:qFormat/>
    <w:pPr>
      <w:numPr>
        <w:numId w:val="1"/>
      </w:numPr>
    </w:pPr>
  </w:style>
  <w:style w:type="paragraph" w:customStyle="1" w:styleId="COLNumbered">
    <w:name w:val="COL Numbered"/>
    <w:basedOn w:val="FOFNumbered"/>
    <w:uiPriority w:val="2"/>
    <w:qFormat/>
    <w:pPr>
      <w:numPr>
        <w:numId w:val="3"/>
      </w:numPr>
      <w:ind w:hanging="720"/>
    </w:pPr>
  </w:style>
  <w:style w:type="paragraph" w:customStyle="1" w:styleId="OrderingNumbered">
    <w:name w:val="Ordering Numbered"/>
    <w:basedOn w:val="FOFNumbered"/>
    <w:link w:val="OrderingNumberedChar"/>
    <w:uiPriority w:val="4"/>
    <w:semiHidden/>
    <w:unhideWhenUsed/>
    <w:pPr>
      <w:numPr>
        <w:numId w:val="0"/>
      </w:numPr>
      <w:tabs>
        <w:tab w:val="num" w:pos="360"/>
      </w:tabs>
    </w:pPr>
  </w:style>
  <w:style w:type="character" w:customStyle="1" w:styleId="Heading9Char">
    <w:name w:val="Heading 9 Char"/>
    <w:basedOn w:val="DefaultParagraphFont"/>
    <w:link w:val="Heading9"/>
    <w:rPr>
      <w:rFonts w:eastAsiaTheme="majorEastAsia" w:cstheme="majorBidi"/>
      <w:b/>
      <w:i/>
      <w:iCs/>
      <w:szCs w:val="21"/>
      <w:u w:val="single"/>
    </w:rPr>
  </w:style>
  <w:style w:type="paragraph" w:styleId="BlockText">
    <w:name w:val="Block Text"/>
    <w:basedOn w:val="Normal"/>
    <w:pPr>
      <w:spacing w:after="120"/>
      <w:ind w:left="720" w:right="720"/>
      <w:jc w:val="both"/>
    </w:pPr>
    <w:rPr>
      <w:rFonts w:eastAsiaTheme="minorEastAsia" w:cstheme="minorBidi"/>
      <w:iCs/>
    </w:rPr>
  </w:style>
  <w:style w:type="paragraph" w:styleId="BodyText2">
    <w:name w:val="Body Text 2"/>
    <w:basedOn w:val="BodyText"/>
    <w:next w:val="BodyText"/>
    <w:link w:val="BodyText2Char"/>
    <w:pPr>
      <w:ind w:firstLine="0"/>
    </w:pPr>
  </w:style>
  <w:style w:type="character" w:customStyle="1" w:styleId="BodyText2Char">
    <w:name w:val="Body Text 2 Char"/>
    <w:basedOn w:val="DefaultParagraphFont"/>
    <w:link w:val="BodyText2"/>
  </w:style>
  <w:style w:type="paragraph" w:customStyle="1" w:styleId="Signatures">
    <w:name w:val="Signatures"/>
    <w:basedOn w:val="Normal"/>
    <w:link w:val="SignaturesChar"/>
    <w:uiPriority w:val="4"/>
    <w:pPr>
      <w:keepLines/>
      <w:ind w:left="3744"/>
    </w:pPr>
    <w:rPr>
      <w:b/>
    </w:rPr>
  </w:style>
  <w:style w:type="paragraph" w:customStyle="1" w:styleId="Dateline">
    <w:name w:val="Dateline"/>
    <w:basedOn w:val="Normal"/>
    <w:link w:val="DatelineChar"/>
    <w:uiPriority w:val="3"/>
    <w:pPr>
      <w:keepNext/>
      <w:ind w:left="720"/>
    </w:pPr>
    <w:rPr>
      <w:b/>
    </w:rPr>
  </w:style>
  <w:style w:type="character" w:customStyle="1" w:styleId="SignaturesChar">
    <w:name w:val="Signatures Char"/>
    <w:basedOn w:val="DefaultParagraphFont"/>
    <w:link w:val="Signatures"/>
    <w:uiPriority w:val="4"/>
    <w:rPr>
      <w:b/>
    </w:rPr>
  </w:style>
  <w:style w:type="paragraph" w:customStyle="1" w:styleId="EndMatter">
    <w:name w:val="End Matter"/>
    <w:basedOn w:val="Normal"/>
    <w:link w:val="EndMatterChar"/>
    <w:uiPriority w:val="3"/>
    <w:rPr>
      <w:sz w:val="20"/>
      <w:szCs w:val="20"/>
    </w:rPr>
  </w:style>
  <w:style w:type="character" w:customStyle="1" w:styleId="DatelineChar">
    <w:name w:val="Dateline Char"/>
    <w:basedOn w:val="DefaultParagraphFont"/>
    <w:link w:val="Dateline"/>
    <w:uiPriority w:val="3"/>
    <w:rPr>
      <w:b/>
    </w:rPr>
  </w:style>
  <w:style w:type="character" w:customStyle="1" w:styleId="EndMatterChar">
    <w:name w:val="End Matter Char"/>
    <w:basedOn w:val="DefaultParagraphFont"/>
    <w:link w:val="EndMatter"/>
    <w:uiPriority w:val="3"/>
    <w:rPr>
      <w:sz w:val="20"/>
      <w:szCs w:val="20"/>
    </w:rPr>
  </w:style>
  <w:style w:type="paragraph" w:styleId="FootnoteText">
    <w:name w:val="footnote text"/>
    <w:basedOn w:val="Normal"/>
    <w:link w:val="FootnoteTextChar"/>
    <w:uiPriority w:val="99"/>
    <w:pPr>
      <w:spacing w:after="120"/>
      <w:ind w:firstLine="720"/>
    </w:pPr>
    <w:rPr>
      <w:sz w:val="20"/>
      <w:szCs w:val="20"/>
    </w:rPr>
  </w:style>
  <w:style w:type="character" w:customStyle="1" w:styleId="FootnoteTextChar">
    <w:name w:val="Footnote Text Char"/>
    <w:basedOn w:val="DefaultParagraphFont"/>
    <w:link w:val="FootnoteText"/>
    <w:uiPriority w:val="99"/>
    <w:rPr>
      <w:sz w:val="20"/>
      <w:szCs w:val="20"/>
    </w:rPr>
  </w:style>
  <w:style w:type="character" w:styleId="FootnoteReference">
    <w:name w:val="footnote reference"/>
    <w:basedOn w:val="DefaultParagraphFont"/>
    <w:uiPriority w:val="99"/>
    <w:rPr>
      <w:vertAlign w:val="superscript"/>
    </w:rPr>
  </w:style>
  <w:style w:type="paragraph" w:customStyle="1" w:styleId="BlockTextEnd">
    <w:name w:val="Block Text End"/>
    <w:basedOn w:val="BlockText"/>
    <w:link w:val="BlockTextEndChar"/>
    <w:pPr>
      <w:spacing w:after="240"/>
    </w:pPr>
  </w:style>
  <w:style w:type="paragraph" w:customStyle="1" w:styleId="OrderingParagraph">
    <w:name w:val="Ordering Paragraph"/>
    <w:basedOn w:val="BodyText"/>
    <w:link w:val="OrderingParagraphChar"/>
    <w:uiPriority w:val="2"/>
    <w:qFormat/>
    <w:pPr>
      <w:keepNext/>
      <w:keepLines/>
      <w:numPr>
        <w:numId w:val="7"/>
      </w:numPr>
      <w:spacing w:before="240" w:after="240" w:line="240" w:lineRule="auto"/>
      <w:ind w:right="130"/>
      <w:jc w:val="center"/>
    </w:pPr>
    <w:rPr>
      <w:b/>
      <w:bCs/>
      <w:snapToGrid w:val="0"/>
      <w:lang w:eastAsia="zh-TW"/>
    </w:rPr>
  </w:style>
  <w:style w:type="character" w:customStyle="1" w:styleId="BlockTextEndChar">
    <w:name w:val="Block Text End Char"/>
    <w:basedOn w:val="BodyTextChar"/>
    <w:link w:val="BlockTextEnd"/>
    <w:rPr>
      <w:rFonts w:eastAsiaTheme="minorEastAsia" w:cstheme="minorBidi"/>
      <w:iCs/>
    </w:rPr>
  </w:style>
  <w:style w:type="paragraph" w:styleId="BalloonText">
    <w:name w:val="Balloon Text"/>
    <w:basedOn w:val="Normal"/>
    <w:link w:val="BalloonTextChar"/>
    <w:uiPriority w:val="99"/>
    <w:semiHidden/>
    <w:unhideWhenUsed/>
    <w:rPr>
      <w:rFonts w:ascii="Segoe UI" w:hAnsi="Segoe UI" w:cs="Segoe UI"/>
      <w:sz w:val="18"/>
      <w:szCs w:val="18"/>
    </w:rPr>
  </w:style>
  <w:style w:type="character" w:customStyle="1" w:styleId="FOFCOLChar">
    <w:name w:val="FOF/COL Char"/>
    <w:basedOn w:val="BodyTextChar"/>
    <w:link w:val="FOFCOL"/>
    <w:uiPriority w:val="2"/>
    <w:rPr>
      <w:rFonts w:eastAsia="Times New Roman"/>
      <w:snapToGrid w:val="0"/>
      <w:szCs w:val="20"/>
    </w:rPr>
  </w:style>
  <w:style w:type="character" w:customStyle="1" w:styleId="FOFNumberedChar">
    <w:name w:val="FOF Numbered Char"/>
    <w:basedOn w:val="FOFCOLChar"/>
    <w:link w:val="FOFNumbered"/>
    <w:uiPriority w:val="2"/>
    <w:rPr>
      <w:rFonts w:eastAsia="Times New Roman"/>
      <w:snapToGrid w:val="0"/>
      <w:szCs w:val="20"/>
    </w:rPr>
  </w:style>
  <w:style w:type="character" w:customStyle="1" w:styleId="OrderingNumberedChar">
    <w:name w:val="Ordering Numbered Char"/>
    <w:basedOn w:val="FOFNumberedChar"/>
    <w:link w:val="OrderingNumbered"/>
    <w:uiPriority w:val="4"/>
    <w:semiHidden/>
    <w:rPr>
      <w:rFonts w:eastAsia="Times New Roman"/>
      <w:snapToGrid w:val="0"/>
      <w:szCs w:val="20"/>
    </w:rPr>
  </w:style>
  <w:style w:type="character" w:customStyle="1" w:styleId="OrderingParagraphChar">
    <w:name w:val="Ordering Paragraph Char"/>
    <w:basedOn w:val="OrderingNumberedChar"/>
    <w:link w:val="OrderingParagraph"/>
    <w:uiPriority w:val="2"/>
    <w:rPr>
      <w:rFonts w:eastAsia="Times New Roman"/>
      <w:b/>
      <w:bCs/>
      <w:snapToGrid w:val="0"/>
      <w:szCs w:val="20"/>
      <w:lang w:eastAsia="zh-TW"/>
    </w:rPr>
  </w:style>
  <w:style w:type="character" w:customStyle="1" w:styleId="BalloonTextChar">
    <w:name w:val="Balloon Text Char"/>
    <w:basedOn w:val="DefaultParagraphFont"/>
    <w:link w:val="BalloonText"/>
    <w:uiPriority w:val="99"/>
    <w:semiHidden/>
    <w:rPr>
      <w:rFonts w:ascii="Segoe UI" w:hAnsi="Segoe UI" w:cs="Segoe UI"/>
      <w:sz w:val="18"/>
      <w:szCs w:val="18"/>
    </w:rPr>
  </w:style>
  <w:style w:type="paragraph" w:styleId="Header">
    <w:name w:val="header"/>
    <w:basedOn w:val="Normal"/>
    <w:link w:val="HeaderChar"/>
    <w:uiPriority w:val="99"/>
    <w:unhideWhenUsed/>
    <w:pPr>
      <w:tabs>
        <w:tab w:val="center" w:pos="4680"/>
        <w:tab w:val="right" w:pos="9360"/>
      </w:tabs>
    </w:pPr>
    <w:rPr>
      <w:b/>
      <w:sz w:val="22"/>
    </w:rPr>
  </w:style>
  <w:style w:type="character" w:customStyle="1" w:styleId="HeaderChar">
    <w:name w:val="Header Char"/>
    <w:basedOn w:val="DefaultParagraphFont"/>
    <w:link w:val="Header"/>
    <w:uiPriority w:val="99"/>
    <w:rPr>
      <w:b/>
      <w:sz w:val="22"/>
    </w:rPr>
  </w:style>
  <w:style w:type="paragraph" w:styleId="Footer">
    <w:name w:val="footer"/>
    <w:basedOn w:val="Normal"/>
    <w:link w:val="FooterChar"/>
    <w:uiPriority w:val="99"/>
    <w:unhideWhenUsed/>
    <w:pPr>
      <w:tabs>
        <w:tab w:val="center" w:pos="4680"/>
        <w:tab w:val="right" w:pos="9360"/>
      </w:tabs>
    </w:pPr>
  </w:style>
  <w:style w:type="character" w:customStyle="1" w:styleId="FooterChar">
    <w:name w:val="Footer Char"/>
    <w:basedOn w:val="DefaultParagraphFont"/>
    <w:link w:val="Footer"/>
    <w:uiPriority w:val="99"/>
  </w:style>
  <w:style w:type="paragraph" w:styleId="ListParagraph">
    <w:name w:val="List Paragraph"/>
    <w:basedOn w:val="Normal"/>
    <w:uiPriority w:val="34"/>
    <w:unhideWhenUsed/>
    <w:qFormat/>
    <w:pPr>
      <w:ind w:left="720"/>
      <w:contextualSpacing/>
    </w:pPr>
  </w:style>
  <w:style w:type="paragraph" w:customStyle="1" w:styleId="FilePath">
    <w:name w:val="File Path"/>
    <w:basedOn w:val="Normal"/>
    <w:link w:val="FilePathChar"/>
    <w:pPr>
      <w:spacing w:before="120"/>
      <w:jc w:val="both"/>
    </w:pPr>
    <w:rPr>
      <w:rFonts w:eastAsia="Times New Roman"/>
      <w:sz w:val="16"/>
      <w:szCs w:val="20"/>
      <w:lang w:eastAsia="zh-TW"/>
    </w:rPr>
  </w:style>
  <w:style w:type="character" w:customStyle="1" w:styleId="FilePathChar">
    <w:name w:val="File Path Char"/>
    <w:basedOn w:val="DefaultParagraphFont"/>
    <w:link w:val="FilePath"/>
    <w:rPr>
      <w:rFonts w:eastAsia="Times New Roman"/>
      <w:sz w:val="16"/>
      <w:szCs w:val="20"/>
      <w:lang w:eastAsia="zh-TW"/>
    </w:rPr>
  </w:style>
  <w:style w:type="paragraph" w:styleId="Index1">
    <w:name w:val="index 1"/>
    <w:basedOn w:val="Normal"/>
    <w:next w:val="Normal"/>
    <w:semiHidden/>
    <w:pPr>
      <w:tabs>
        <w:tab w:val="left" w:leader="dot" w:pos="9000"/>
        <w:tab w:val="right" w:pos="9360"/>
      </w:tabs>
      <w:suppressAutoHyphens/>
      <w:ind w:left="720"/>
      <w:jc w:val="both"/>
    </w:pPr>
    <w:rPr>
      <w:rFonts w:ascii="CG Times" w:eastAsia="Times New Roman" w:hAnsi="CG Times"/>
      <w:spacing w:val="-3"/>
      <w:szCs w:val="20"/>
    </w:rPr>
  </w:style>
  <w:style w:type="paragraph" w:customStyle="1" w:styleId="BodyTextIndented">
    <w:name w:val="Body Text Indented"/>
    <w:basedOn w:val="Normal"/>
    <w:link w:val="BodyTextIndentedCharChar"/>
    <w:qFormat/>
    <w:pPr>
      <w:spacing w:before="120" w:line="360" w:lineRule="auto"/>
      <w:ind w:firstLine="720"/>
      <w:jc w:val="both"/>
    </w:pPr>
    <w:rPr>
      <w:rFonts w:eastAsia="SimSun"/>
      <w:lang w:eastAsia="zh-CN"/>
    </w:rPr>
  </w:style>
  <w:style w:type="character" w:customStyle="1" w:styleId="BodyTextIndentedCharChar">
    <w:name w:val="Body Text Indented Char Char"/>
    <w:basedOn w:val="DefaultParagraphFont"/>
    <w:link w:val="BodyTextIndented"/>
    <w:rPr>
      <w:rFonts w:eastAsia="SimSun"/>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basedOn w:val="DefaultParagraphFont"/>
    <w:link w:val="CommentText"/>
    <w:uiPriority w:val="99"/>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TOC3">
    <w:name w:val="toc 3"/>
    <w:basedOn w:val="TOC2"/>
    <w:next w:val="Normal"/>
    <w:semiHidden/>
    <w:pPr>
      <w:spacing w:after="0"/>
    </w:pPr>
    <w:rPr>
      <w:rFonts w:eastAsia="Times New Roman"/>
      <w:sz w:val="20"/>
      <w:szCs w:val="20"/>
    </w:rPr>
  </w:style>
  <w:style w:type="paragraph" w:styleId="TOC2">
    <w:name w:val="toc 2"/>
    <w:basedOn w:val="Normal"/>
    <w:next w:val="Normal"/>
    <w:autoRedefine/>
    <w:uiPriority w:val="39"/>
    <w:semiHidden/>
    <w:unhideWhenUsed/>
    <w:pPr>
      <w:spacing w:after="100"/>
      <w:ind w:left="240"/>
    </w:pPr>
  </w:style>
  <w:style w:type="paragraph" w:styleId="NoSpacing">
    <w:name w:val="No Spacing"/>
    <w:uiPriority w:val="1"/>
    <w:qFormat/>
    <w:pPr>
      <w:spacing w:after="0" w:line="240" w:lineRule="auto"/>
    </w:pPr>
    <w:rPr>
      <w:rFonts w:asciiTheme="minorHAnsi" w:hAnsiTheme="minorHAnsi" w:cstheme="minorBidi"/>
      <w:sz w:val="22"/>
      <w:szCs w:val="22"/>
    </w:rPr>
  </w:style>
  <w:style w:type="paragraph" w:styleId="Revision">
    <w:name w:val="Revision"/>
    <w:hidden/>
    <w:uiPriority w:val="99"/>
    <w:semiHidden/>
    <w:pPr>
      <w:spacing w:after="0" w:line="240" w:lineRule="auto"/>
    </w:pPr>
  </w:style>
  <w:style w:type="paragraph" w:customStyle="1" w:styleId="FoFs">
    <w:name w:val="FoFs"/>
    <w:basedOn w:val="BodyText"/>
    <w:qFormat/>
    <w:pPr>
      <w:numPr>
        <w:numId w:val="5"/>
      </w:numPr>
      <w:tabs>
        <w:tab w:val="left" w:pos="720"/>
      </w:tabs>
      <w:spacing w:before="0" w:after="120"/>
      <w:ind w:right="130"/>
    </w:pPr>
    <w:rPr>
      <w:rFonts w:eastAsia="SimSun"/>
      <w:snapToGrid w:val="0"/>
      <w:lang w:eastAsia="zh-CN"/>
    </w:rPr>
  </w:style>
  <w:style w:type="paragraph" w:customStyle="1" w:styleId="CROutline1">
    <w:name w:val="CR Outline1"/>
    <w:next w:val="Normal"/>
    <w:qFormat/>
    <w:pPr>
      <w:numPr>
        <w:numId w:val="6"/>
      </w:numPr>
      <w:tabs>
        <w:tab w:val="left" w:pos="432"/>
      </w:tabs>
      <w:spacing w:after="240" w:line="240" w:lineRule="auto"/>
      <w:jc w:val="center"/>
      <w:outlineLvl w:val="0"/>
    </w:pPr>
    <w:rPr>
      <w:rFonts w:eastAsia="Times New Roman"/>
      <w:b/>
    </w:rPr>
  </w:style>
  <w:style w:type="paragraph" w:customStyle="1" w:styleId="CROutline2">
    <w:name w:val="CR Outline2"/>
    <w:next w:val="Normal"/>
    <w:qFormat/>
    <w:pPr>
      <w:numPr>
        <w:ilvl w:val="1"/>
        <w:numId w:val="6"/>
      </w:numPr>
      <w:spacing w:after="240" w:line="240" w:lineRule="auto"/>
      <w:jc w:val="both"/>
      <w:outlineLvl w:val="1"/>
    </w:pPr>
    <w:rPr>
      <w:rFonts w:eastAsia="Times New Roman"/>
      <w:b/>
    </w:rPr>
  </w:style>
  <w:style w:type="paragraph" w:customStyle="1" w:styleId="CROutline3">
    <w:name w:val="CR Outline3"/>
    <w:next w:val="Normal"/>
    <w:pPr>
      <w:numPr>
        <w:ilvl w:val="2"/>
        <w:numId w:val="6"/>
      </w:numPr>
      <w:tabs>
        <w:tab w:val="clear" w:pos="1152"/>
        <w:tab w:val="left" w:pos="1440"/>
      </w:tabs>
      <w:spacing w:after="240" w:line="240" w:lineRule="auto"/>
      <w:jc w:val="both"/>
      <w:outlineLvl w:val="2"/>
    </w:pPr>
    <w:rPr>
      <w:rFonts w:eastAsia="Times New Roman"/>
      <w:b/>
    </w:rPr>
  </w:style>
  <w:style w:type="paragraph" w:customStyle="1" w:styleId="Default">
    <w:name w:val="Default"/>
    <w:pPr>
      <w:autoSpaceDE w:val="0"/>
      <w:autoSpaceDN w:val="0"/>
      <w:adjustRightInd w:val="0"/>
      <w:spacing w:after="0" w:line="240" w:lineRule="auto"/>
    </w:pPr>
    <w:rPr>
      <w:rFonts w:ascii="Arial" w:hAnsi="Arial" w:cs="Arial"/>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42376669">
      <w:bodyDiv w:val="1"/>
      <w:marLeft w:val="0"/>
      <w:marRight w:val="0"/>
      <w:marTop w:val="0"/>
      <w:marBottom w:val="0"/>
      <w:divBdr>
        <w:top w:val="none" w:sz="0" w:space="0" w:color="auto"/>
        <w:left w:val="none" w:sz="0" w:space="0" w:color="auto"/>
        <w:bottom w:val="none" w:sz="0" w:space="0" w:color="auto"/>
        <w:right w:val="none" w:sz="0" w:space="0" w:color="auto"/>
      </w:divBdr>
    </w:div>
    <w:div w:id="1517690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D51BA9-EFE0-4B5F-9EC1-373CE1C6E4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3174</Words>
  <Characters>18097</Characters>
  <Application>Microsoft Office Word</Application>
  <DocSecurity>0</DocSecurity>
  <Lines>150</Lines>
  <Paragraphs>42</Paragraphs>
  <ScaleCrop>false</ScaleCrop>
  <Company/>
  <LinksUpToDate>false</LinksUpToDate>
  <CharactersWithSpaces>21229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2023-01-13T20:49:00Z</dcterms:created>
  <dcterms:modified xsi:type="dcterms:W3CDTF">2023-01-13T20:49:00Z</dcterms:modified>
</cp:coreProperties>
</file>